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36"/>
          <w:szCs w:val="36"/>
        </w:rPr>
        <w:t>贵州省床垫产品质量监督抽查实施细则</w:t>
      </w:r>
    </w:p>
    <w:p>
      <w:pPr>
        <w:adjustRightInd w:val="0"/>
        <w:snapToGrid w:val="0"/>
        <w:spacing w:line="440" w:lineRule="exact"/>
        <w:jc w:val="center"/>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0"/>
          <w:szCs w:val="30"/>
        </w:rPr>
        <w:t>（2026年版）</w:t>
      </w:r>
    </w:p>
    <w:p>
      <w:pPr>
        <w:keepNext w:val="0"/>
        <w:keepLines w:val="0"/>
        <w:pageBreakBefore w:val="0"/>
        <w:widowControl w:val="0"/>
        <w:kinsoku/>
        <w:wordWrap/>
        <w:overflowPunct/>
        <w:topLinePunct w:val="0"/>
        <w:autoSpaceDE/>
        <w:autoSpaceDN/>
        <w:bidi w:val="0"/>
        <w:snapToGrid w:val="0"/>
        <w:spacing w:after="0" w:line="440" w:lineRule="exact"/>
        <w:textAlignment w:val="auto"/>
        <w:rPr>
          <w:rFonts w:ascii="Times New Roman" w:hAnsi="Times New Roman" w:eastAsia="黑体"/>
          <w:color w:val="000000"/>
          <w:szCs w:val="21"/>
        </w:rPr>
      </w:pPr>
      <w:r>
        <w:rPr>
          <w:rFonts w:ascii="Times New Roman" w:hAnsi="Times New Roman" w:eastAsia="黑体"/>
          <w:color w:val="000000"/>
          <w:szCs w:val="21"/>
        </w:rPr>
        <w:t>1 抽样方法</w:t>
      </w:r>
    </w:p>
    <w:p>
      <w:pPr>
        <w:keepNext w:val="0"/>
        <w:keepLines w:val="0"/>
        <w:pageBreakBefore w:val="0"/>
        <w:widowControl w:val="0"/>
        <w:kinsoku/>
        <w:wordWrap/>
        <w:overflowPunct/>
        <w:topLinePunct w:val="0"/>
        <w:autoSpaceDE/>
        <w:autoSpaceDN/>
        <w:bidi w:val="0"/>
        <w:snapToGrid w:val="0"/>
        <w:spacing w:after="0" w:line="440" w:lineRule="exact"/>
        <w:ind w:firstLine="420" w:firstLineChars="200"/>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以随机抽样的方式在被抽样生产者、销售者的待销产品中抽取。</w:t>
      </w:r>
    </w:p>
    <w:p>
      <w:pPr>
        <w:keepNext w:val="0"/>
        <w:keepLines w:val="0"/>
        <w:pageBreakBefore w:val="0"/>
        <w:widowControl w:val="0"/>
        <w:kinsoku/>
        <w:wordWrap/>
        <w:overflowPunct/>
        <w:topLinePunct w:val="0"/>
        <w:autoSpaceDE/>
        <w:autoSpaceDN/>
        <w:bidi w:val="0"/>
        <w:snapToGrid w:val="0"/>
        <w:spacing w:after="0" w:line="440" w:lineRule="exact"/>
        <w:ind w:firstLine="420" w:firstLineChars="200"/>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随机数一般可使用随机数表等方法产生。</w:t>
      </w:r>
    </w:p>
    <w:p>
      <w:pPr>
        <w:keepNext w:val="0"/>
        <w:keepLines w:val="0"/>
        <w:pageBreakBefore w:val="0"/>
        <w:widowControl w:val="0"/>
        <w:kinsoku/>
        <w:wordWrap/>
        <w:overflowPunct/>
        <w:topLinePunct w:val="0"/>
        <w:autoSpaceDE/>
        <w:autoSpaceDN/>
        <w:bidi w:val="0"/>
        <w:adjustRightInd w:val="0"/>
        <w:snapToGrid w:val="0"/>
        <w:spacing w:after="0" w:line="440" w:lineRule="exact"/>
        <w:ind w:firstLine="420" w:firstLineChars="200"/>
        <w:textAlignment w:val="auto"/>
        <w:rPr>
          <w:rFonts w:hint="default" w:ascii="Times New Roman" w:hAnsi="Times New Roman" w:cs="Times New Roman"/>
          <w:szCs w:val="21"/>
        </w:rPr>
      </w:pPr>
      <w:r>
        <w:rPr>
          <w:rFonts w:hint="default" w:ascii="Times New Roman" w:hAnsi="Times New Roman" w:cs="Times New Roman"/>
          <w:szCs w:val="21"/>
        </w:rPr>
        <w:t>每批次产品抽取样品2件，其中1件作为检验样品，1件作为备用样品。</w:t>
      </w:r>
    </w:p>
    <w:p>
      <w:pPr>
        <w:adjustRightInd w:val="0"/>
        <w:snapToGrid w:val="0"/>
        <w:spacing w:line="440" w:lineRule="exact"/>
        <w:ind w:firstLine="420" w:firstLineChars="200"/>
        <w:rPr>
          <w:rFonts w:ascii="Times New Roman" w:hAnsi="Times New Roman"/>
          <w:szCs w:val="21"/>
        </w:rPr>
      </w:pPr>
    </w:p>
    <w:p>
      <w:pPr>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2 检验依据</w:t>
      </w:r>
    </w:p>
    <w:p>
      <w:pPr>
        <w:snapToGrid w:val="0"/>
        <w:spacing w:line="440" w:lineRule="exact"/>
        <w:jc w:val="center"/>
        <w:rPr>
          <w:rFonts w:ascii="Times New Roman" w:hAnsi="Times New Roman" w:eastAsia="黑体"/>
          <w:color w:val="000000"/>
          <w:szCs w:val="21"/>
        </w:rPr>
      </w:pPr>
      <w:r>
        <w:rPr>
          <w:rFonts w:ascii="Times New Roman" w:hAnsi="Times New Roman" w:eastAsia="宋体"/>
          <w:color w:val="000000"/>
          <w:szCs w:val="21"/>
        </w:rPr>
        <w:t>表1 弹簧软床垫</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1083"/>
        <w:gridCol w:w="650"/>
        <w:gridCol w:w="2241"/>
        <w:gridCol w:w="3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序号</w:t>
            </w:r>
          </w:p>
        </w:tc>
        <w:tc>
          <w:tcPr>
            <w:tcW w:w="3974" w:type="dxa"/>
            <w:gridSpan w:val="3"/>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检验项目</w:t>
            </w:r>
          </w:p>
        </w:tc>
        <w:tc>
          <w:tcPr>
            <w:tcW w:w="3907"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1</w:t>
            </w:r>
          </w:p>
        </w:tc>
        <w:tc>
          <w:tcPr>
            <w:tcW w:w="1083" w:type="dxa"/>
            <w:vMerge w:val="restart"/>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外观性能</w:t>
            </w: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复合面料</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2</w:t>
            </w:r>
          </w:p>
        </w:tc>
        <w:tc>
          <w:tcPr>
            <w:tcW w:w="1083" w:type="dxa"/>
            <w:vMerge w:val="continue"/>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缝边</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3</w:t>
            </w:r>
          </w:p>
        </w:tc>
        <w:tc>
          <w:tcPr>
            <w:tcW w:w="1083" w:type="dxa"/>
            <w:vMerge w:val="continue"/>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拉链</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4</w:t>
            </w:r>
          </w:p>
        </w:tc>
        <w:tc>
          <w:tcPr>
            <w:tcW w:w="1083" w:type="dxa"/>
            <w:vMerge w:val="restart"/>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安全性能</w:t>
            </w: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霉变</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5</w:t>
            </w:r>
          </w:p>
        </w:tc>
        <w:tc>
          <w:tcPr>
            <w:tcW w:w="1083" w:type="dxa"/>
            <w:vMerge w:val="continue"/>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害虫及其污染物</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6</w:t>
            </w:r>
          </w:p>
        </w:tc>
        <w:tc>
          <w:tcPr>
            <w:tcW w:w="1083" w:type="dxa"/>
            <w:vMerge w:val="continue"/>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废旧制品</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7</w:t>
            </w:r>
          </w:p>
        </w:tc>
        <w:tc>
          <w:tcPr>
            <w:tcW w:w="1083" w:type="dxa"/>
            <w:vMerge w:val="continue"/>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纤维性工业下脚料或用其加工的再生纤维状物质</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8</w:t>
            </w:r>
          </w:p>
        </w:tc>
        <w:tc>
          <w:tcPr>
            <w:tcW w:w="1083" w:type="dxa"/>
            <w:vMerge w:val="continue"/>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杂物</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9</w:t>
            </w:r>
          </w:p>
        </w:tc>
        <w:tc>
          <w:tcPr>
            <w:tcW w:w="1083" w:type="dxa"/>
            <w:vMerge w:val="continue"/>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异味</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10</w:t>
            </w:r>
          </w:p>
        </w:tc>
        <w:tc>
          <w:tcPr>
            <w:tcW w:w="1083" w:type="dxa"/>
            <w:vMerge w:val="continue"/>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甲醛释放量</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11</w:t>
            </w:r>
          </w:p>
        </w:tc>
        <w:tc>
          <w:tcPr>
            <w:tcW w:w="1083" w:type="dxa"/>
            <w:vMerge w:val="continue"/>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苯释放量</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12</w:t>
            </w:r>
          </w:p>
        </w:tc>
        <w:tc>
          <w:tcPr>
            <w:tcW w:w="1083" w:type="dxa"/>
            <w:vMerge w:val="continue"/>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甲苯释放量</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13</w:t>
            </w:r>
          </w:p>
        </w:tc>
        <w:tc>
          <w:tcPr>
            <w:tcW w:w="1083" w:type="dxa"/>
            <w:vMerge w:val="continue"/>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二甲苯（邻、间、对二甲苯之和）释放量</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14</w:t>
            </w:r>
          </w:p>
        </w:tc>
        <w:tc>
          <w:tcPr>
            <w:tcW w:w="1083" w:type="dxa"/>
            <w:vMerge w:val="continue"/>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总挥发性有机化合物(TVOC)释放量</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15</w:t>
            </w:r>
          </w:p>
        </w:tc>
        <w:tc>
          <w:tcPr>
            <w:tcW w:w="1083" w:type="dxa"/>
            <w:vMerge w:val="continue"/>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弹簧</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16</w:t>
            </w:r>
          </w:p>
        </w:tc>
        <w:tc>
          <w:tcPr>
            <w:tcW w:w="3974" w:type="dxa"/>
            <w:gridSpan w:val="3"/>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阻燃性</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szCs w:val="21"/>
              </w:rPr>
            </w:pPr>
            <w:r>
              <w:rPr>
                <w:rFonts w:ascii="Times New Roman" w:hAnsi="Times New Roman"/>
                <w:szCs w:val="21"/>
              </w:rPr>
              <w:t>GB 17927.1—2011</w:t>
            </w:r>
          </w:p>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szCs w:val="21"/>
              </w:rPr>
              <w:t>GB 17927.2—2011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17</w:t>
            </w:r>
          </w:p>
        </w:tc>
        <w:tc>
          <w:tcPr>
            <w:tcW w:w="1083" w:type="dxa"/>
            <w:vMerge w:val="restart"/>
            <w:vAlign w:val="center"/>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color w:val="000000"/>
                <w:szCs w:val="21"/>
              </w:rPr>
              <w:t>理化性能</w:t>
            </w:r>
          </w:p>
        </w:tc>
        <w:tc>
          <w:tcPr>
            <w:tcW w:w="650"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复合</w:t>
            </w:r>
          </w:p>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面料</w:t>
            </w:r>
          </w:p>
        </w:tc>
        <w:tc>
          <w:tcPr>
            <w:tcW w:w="2241"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面料</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18</w:t>
            </w:r>
          </w:p>
        </w:tc>
        <w:tc>
          <w:tcPr>
            <w:tcW w:w="1083" w:type="dxa"/>
            <w:vMerge w:val="continue"/>
          </w:tcPr>
          <w:p>
            <w:pPr>
              <w:keepNext w:val="0"/>
              <w:keepLines w:val="0"/>
              <w:pageBreakBefore w:val="0"/>
              <w:widowControl w:val="0"/>
              <w:kinsoku/>
              <w:wordWrap/>
              <w:overflowPunct/>
              <w:topLinePunct w:val="0"/>
              <w:autoSpaceDE/>
              <w:autoSpaceDN/>
              <w:bidi w:val="0"/>
              <w:adjustRightInd/>
              <w:snapToGrid w:val="0"/>
              <w:spacing w:after="0" w:line="440" w:lineRule="exact"/>
              <w:textAlignment w:val="auto"/>
              <w:rPr>
                <w:rFonts w:ascii="Times New Roman" w:hAnsi="Times New Roman" w:eastAsia="黑体"/>
                <w:color w:val="000000"/>
                <w:szCs w:val="21"/>
              </w:rPr>
            </w:pPr>
          </w:p>
        </w:tc>
        <w:tc>
          <w:tcPr>
            <w:tcW w:w="650" w:type="dxa"/>
            <w:vMerge w:val="restart"/>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 xml:space="preserve">铺垫料 </w:t>
            </w:r>
          </w:p>
        </w:tc>
        <w:tc>
          <w:tcPr>
            <w:tcW w:w="2241"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毡垫</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19</w:t>
            </w:r>
          </w:p>
        </w:tc>
        <w:tc>
          <w:tcPr>
            <w:tcW w:w="1083" w:type="dxa"/>
            <w:vMerge w:val="continue"/>
          </w:tcPr>
          <w:p>
            <w:pPr>
              <w:keepNext w:val="0"/>
              <w:keepLines w:val="0"/>
              <w:pageBreakBefore w:val="0"/>
              <w:widowControl w:val="0"/>
              <w:kinsoku/>
              <w:wordWrap/>
              <w:overflowPunct/>
              <w:topLinePunct w:val="0"/>
              <w:autoSpaceDE/>
              <w:autoSpaceDN/>
              <w:bidi w:val="0"/>
              <w:adjustRightInd/>
              <w:snapToGrid w:val="0"/>
              <w:spacing w:after="0" w:line="440" w:lineRule="exact"/>
              <w:textAlignment w:val="auto"/>
              <w:rPr>
                <w:rFonts w:ascii="Times New Roman" w:hAnsi="Times New Roman" w:eastAsia="黑体"/>
                <w:color w:val="000000"/>
                <w:szCs w:val="21"/>
              </w:rPr>
            </w:pPr>
          </w:p>
        </w:tc>
        <w:tc>
          <w:tcPr>
            <w:tcW w:w="650" w:type="dxa"/>
            <w:vMerge w:val="continue"/>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p>
        </w:tc>
        <w:tc>
          <w:tcPr>
            <w:tcW w:w="2241"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软质泡沫塑料垫</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20</w:t>
            </w:r>
          </w:p>
        </w:tc>
        <w:tc>
          <w:tcPr>
            <w:tcW w:w="1083" w:type="dxa"/>
            <w:vMerge w:val="continue"/>
          </w:tcPr>
          <w:p>
            <w:pPr>
              <w:keepNext w:val="0"/>
              <w:keepLines w:val="0"/>
              <w:pageBreakBefore w:val="0"/>
              <w:widowControl w:val="0"/>
              <w:kinsoku/>
              <w:wordWrap/>
              <w:overflowPunct/>
              <w:topLinePunct w:val="0"/>
              <w:autoSpaceDE/>
              <w:autoSpaceDN/>
              <w:bidi w:val="0"/>
              <w:adjustRightInd/>
              <w:snapToGrid w:val="0"/>
              <w:spacing w:after="0" w:line="440" w:lineRule="exact"/>
              <w:textAlignment w:val="auto"/>
              <w:rPr>
                <w:rFonts w:ascii="Times New Roman" w:hAnsi="Times New Roman" w:eastAsia="黑体"/>
                <w:color w:val="000000"/>
                <w:szCs w:val="21"/>
              </w:rPr>
            </w:pPr>
          </w:p>
        </w:tc>
        <w:tc>
          <w:tcPr>
            <w:tcW w:w="650" w:type="dxa"/>
            <w:vMerge w:val="continue"/>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p>
        </w:tc>
        <w:tc>
          <w:tcPr>
            <w:tcW w:w="2241"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乳胶（乳胶棉）垫</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21</w:t>
            </w:r>
          </w:p>
        </w:tc>
        <w:tc>
          <w:tcPr>
            <w:tcW w:w="1083" w:type="dxa"/>
            <w:vMerge w:val="continue"/>
          </w:tcPr>
          <w:p>
            <w:pPr>
              <w:keepNext w:val="0"/>
              <w:keepLines w:val="0"/>
              <w:pageBreakBefore w:val="0"/>
              <w:widowControl w:val="0"/>
              <w:kinsoku/>
              <w:wordWrap/>
              <w:overflowPunct/>
              <w:topLinePunct w:val="0"/>
              <w:autoSpaceDE/>
              <w:autoSpaceDN/>
              <w:bidi w:val="0"/>
              <w:adjustRightInd/>
              <w:snapToGrid w:val="0"/>
              <w:spacing w:after="0" w:line="440" w:lineRule="exact"/>
              <w:textAlignment w:val="auto"/>
              <w:rPr>
                <w:rFonts w:ascii="Times New Roman" w:hAnsi="Times New Roman" w:eastAsia="黑体"/>
                <w:color w:val="000000"/>
                <w:szCs w:val="21"/>
              </w:rPr>
            </w:pP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弹簧芯</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22</w:t>
            </w:r>
          </w:p>
        </w:tc>
        <w:tc>
          <w:tcPr>
            <w:tcW w:w="1083" w:type="dxa"/>
            <w:vMerge w:val="restart"/>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color w:val="000000"/>
                <w:szCs w:val="21"/>
              </w:rPr>
            </w:pPr>
            <w:r>
              <w:rPr>
                <w:rFonts w:ascii="Times New Roman" w:hAnsi="Times New Roman"/>
                <w:color w:val="000000"/>
                <w:szCs w:val="21"/>
              </w:rPr>
              <w:t>耐久性</w:t>
            </w: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垫面（睡眠区域中心）</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eastAsia="黑体"/>
                <w:color w:val="000000"/>
                <w:szCs w:val="21"/>
              </w:rPr>
            </w:pPr>
            <w:r>
              <w:rPr>
                <w:rFonts w:ascii="Times New Roman" w:hAnsi="Times New Roman" w:eastAsia="黑体"/>
                <w:color w:val="000000"/>
                <w:szCs w:val="21"/>
              </w:rPr>
              <w:t>23</w:t>
            </w:r>
          </w:p>
        </w:tc>
        <w:tc>
          <w:tcPr>
            <w:tcW w:w="1083" w:type="dxa"/>
            <w:vMerge w:val="continue"/>
          </w:tcPr>
          <w:p>
            <w:pPr>
              <w:keepNext w:val="0"/>
              <w:keepLines w:val="0"/>
              <w:pageBreakBefore w:val="0"/>
              <w:widowControl w:val="0"/>
              <w:kinsoku/>
              <w:wordWrap/>
              <w:overflowPunct/>
              <w:topLinePunct w:val="0"/>
              <w:autoSpaceDE/>
              <w:autoSpaceDN/>
              <w:bidi w:val="0"/>
              <w:adjustRightInd/>
              <w:snapToGrid w:val="0"/>
              <w:spacing w:after="0" w:line="440" w:lineRule="exact"/>
              <w:jc w:val="center"/>
              <w:textAlignment w:val="auto"/>
              <w:rPr>
                <w:rFonts w:ascii="Times New Roman" w:hAnsi="Times New Roman"/>
                <w:color w:val="000000"/>
                <w:szCs w:val="21"/>
              </w:rPr>
            </w:pPr>
          </w:p>
        </w:tc>
        <w:tc>
          <w:tcPr>
            <w:tcW w:w="2891" w:type="dxa"/>
            <w:gridSpan w:val="2"/>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边部</w:t>
            </w:r>
          </w:p>
        </w:tc>
        <w:tc>
          <w:tcPr>
            <w:tcW w:w="3907" w:type="dxa"/>
            <w:vAlign w:val="center"/>
          </w:tcPr>
          <w:p>
            <w:pPr>
              <w:keepNext w:val="0"/>
              <w:keepLines w:val="0"/>
              <w:pageBreakBefore w:val="0"/>
              <w:widowControl w:val="0"/>
              <w:kinsoku/>
              <w:wordWrap/>
              <w:overflowPunct/>
              <w:topLinePunct w:val="0"/>
              <w:autoSpaceDE/>
              <w:autoSpaceDN/>
              <w:bidi w:val="0"/>
              <w:adjustRightInd/>
              <w:spacing w:after="0"/>
              <w:jc w:val="center"/>
              <w:textAlignment w:val="auto"/>
              <w:rPr>
                <w:rFonts w:ascii="Times New Roman" w:hAnsi="Times New Roman"/>
                <w:color w:val="000000"/>
                <w:szCs w:val="21"/>
              </w:rPr>
            </w:pPr>
            <w:r>
              <w:rPr>
                <w:rFonts w:ascii="Times New Roman" w:hAnsi="Times New Roman"/>
                <w:color w:val="000000"/>
                <w:szCs w:val="21"/>
              </w:rPr>
              <w:t>QB/T 1952.2</w:t>
            </w:r>
            <w:r>
              <w:rPr>
                <w:rFonts w:ascii="Times New Roman" w:hAnsi="Times New Roman"/>
                <w:szCs w:val="21"/>
              </w:rPr>
              <w:t>—</w:t>
            </w:r>
            <w:r>
              <w:rPr>
                <w:rFonts w:ascii="Times New Roman" w:hAnsi="Times New Roman"/>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3" w:type="dxa"/>
            <w:gridSpan w:val="5"/>
            <w:vAlign w:val="center"/>
          </w:tcPr>
          <w:p>
            <w:pPr>
              <w:keepNext w:val="0"/>
              <w:keepLines w:val="0"/>
              <w:pageBreakBefore w:val="0"/>
              <w:widowControl w:val="0"/>
              <w:kinsoku/>
              <w:wordWrap/>
              <w:overflowPunct/>
              <w:topLinePunct w:val="0"/>
              <w:autoSpaceDE/>
              <w:autoSpaceDN/>
              <w:bidi w:val="0"/>
              <w:adjustRightInd/>
              <w:spacing w:after="0"/>
              <w:jc w:val="left"/>
              <w:textAlignment w:val="auto"/>
              <w:rPr>
                <w:rFonts w:ascii="Times New Roman" w:hAnsi="Times New Roman"/>
                <w:color w:val="000000"/>
                <w:szCs w:val="21"/>
              </w:rPr>
            </w:pPr>
            <w:r>
              <w:rPr>
                <w:rFonts w:ascii="Times New Roman" w:hAnsi="Times New Roman"/>
                <w:color w:val="000000"/>
                <w:szCs w:val="21"/>
              </w:rPr>
              <w:t>注：1. 复合面料的检验项目为QB/T 1952.2</w:t>
            </w:r>
            <w:r>
              <w:rPr>
                <w:rFonts w:ascii="Times New Roman" w:hAnsi="Times New Roman"/>
                <w:szCs w:val="21"/>
              </w:rPr>
              <w:t>—</w:t>
            </w:r>
            <w:r>
              <w:rPr>
                <w:rFonts w:ascii="Times New Roman" w:hAnsi="Times New Roman"/>
                <w:color w:val="000000"/>
                <w:szCs w:val="21"/>
              </w:rPr>
              <w:t>2023标准中表3序号5、10和12；</w:t>
            </w:r>
          </w:p>
          <w:p>
            <w:pPr>
              <w:keepNext w:val="0"/>
              <w:keepLines w:val="0"/>
              <w:pageBreakBefore w:val="0"/>
              <w:widowControl w:val="0"/>
              <w:kinsoku/>
              <w:wordWrap/>
              <w:overflowPunct/>
              <w:topLinePunct w:val="0"/>
              <w:autoSpaceDE/>
              <w:autoSpaceDN/>
              <w:bidi w:val="0"/>
              <w:adjustRightInd/>
              <w:spacing w:after="0"/>
              <w:ind w:firstLine="420" w:firstLineChars="200"/>
              <w:jc w:val="left"/>
              <w:textAlignment w:val="auto"/>
              <w:rPr>
                <w:rFonts w:ascii="Times New Roman" w:hAnsi="Times New Roman"/>
                <w:color w:val="000000"/>
                <w:szCs w:val="21"/>
              </w:rPr>
            </w:pPr>
            <w:r>
              <w:rPr>
                <w:rFonts w:ascii="Times New Roman" w:hAnsi="Times New Roman"/>
                <w:color w:val="000000"/>
                <w:szCs w:val="21"/>
              </w:rPr>
              <w:t>2. 缝边的检验项目为QB/T 1952.2</w:t>
            </w:r>
            <w:r>
              <w:rPr>
                <w:rFonts w:ascii="Times New Roman" w:hAnsi="Times New Roman"/>
                <w:szCs w:val="21"/>
              </w:rPr>
              <w:t>—</w:t>
            </w:r>
            <w:r>
              <w:rPr>
                <w:rFonts w:ascii="Times New Roman" w:hAnsi="Times New Roman"/>
                <w:color w:val="000000"/>
                <w:szCs w:val="21"/>
              </w:rPr>
              <w:t>2023标准中表3序号19；</w:t>
            </w:r>
          </w:p>
          <w:p>
            <w:pPr>
              <w:keepNext w:val="0"/>
              <w:keepLines w:val="0"/>
              <w:pageBreakBefore w:val="0"/>
              <w:widowControl w:val="0"/>
              <w:kinsoku/>
              <w:wordWrap/>
              <w:overflowPunct/>
              <w:topLinePunct w:val="0"/>
              <w:autoSpaceDE/>
              <w:autoSpaceDN/>
              <w:bidi w:val="0"/>
              <w:adjustRightInd/>
              <w:spacing w:after="0"/>
              <w:ind w:firstLine="420" w:firstLineChars="200"/>
              <w:jc w:val="left"/>
              <w:textAlignment w:val="auto"/>
              <w:rPr>
                <w:rFonts w:ascii="Times New Roman" w:hAnsi="Times New Roman"/>
                <w:color w:val="000000"/>
                <w:szCs w:val="21"/>
              </w:rPr>
            </w:pPr>
            <w:r>
              <w:rPr>
                <w:rFonts w:ascii="Times New Roman" w:hAnsi="Times New Roman"/>
                <w:color w:val="000000"/>
                <w:szCs w:val="21"/>
              </w:rPr>
              <w:t>3. 拉链的检验项目为QB/T 1952.2</w:t>
            </w:r>
            <w:r>
              <w:rPr>
                <w:rFonts w:ascii="Times New Roman" w:hAnsi="Times New Roman"/>
                <w:szCs w:val="21"/>
              </w:rPr>
              <w:t>—</w:t>
            </w:r>
            <w:r>
              <w:rPr>
                <w:rFonts w:ascii="Times New Roman" w:hAnsi="Times New Roman"/>
                <w:color w:val="000000"/>
                <w:szCs w:val="21"/>
              </w:rPr>
              <w:t>2023标准中表3序号22~24；</w:t>
            </w:r>
          </w:p>
          <w:p>
            <w:pPr>
              <w:keepNext w:val="0"/>
              <w:keepLines w:val="0"/>
              <w:pageBreakBefore w:val="0"/>
              <w:widowControl w:val="0"/>
              <w:kinsoku/>
              <w:wordWrap/>
              <w:overflowPunct/>
              <w:topLinePunct w:val="0"/>
              <w:autoSpaceDE/>
              <w:autoSpaceDN/>
              <w:bidi w:val="0"/>
              <w:adjustRightInd/>
              <w:spacing w:after="0"/>
              <w:ind w:firstLine="420" w:firstLineChars="200"/>
              <w:jc w:val="left"/>
              <w:textAlignment w:val="auto"/>
              <w:rPr>
                <w:rFonts w:ascii="Times New Roman" w:hAnsi="Times New Roman"/>
                <w:color w:val="000000"/>
                <w:szCs w:val="21"/>
              </w:rPr>
            </w:pPr>
            <w:r>
              <w:rPr>
                <w:rFonts w:ascii="Times New Roman" w:hAnsi="Times New Roman"/>
                <w:color w:val="000000"/>
                <w:szCs w:val="21"/>
              </w:rPr>
              <w:t>4. 毡垫的检验项目为QB/T 1952.2</w:t>
            </w:r>
            <w:r>
              <w:rPr>
                <w:rFonts w:ascii="Times New Roman" w:hAnsi="Times New Roman"/>
                <w:szCs w:val="21"/>
              </w:rPr>
              <w:t>—</w:t>
            </w:r>
            <w:r>
              <w:rPr>
                <w:rFonts w:ascii="Times New Roman" w:hAnsi="Times New Roman"/>
                <w:color w:val="000000"/>
                <w:szCs w:val="21"/>
              </w:rPr>
              <w:t>2023标准中表3序号49；</w:t>
            </w:r>
          </w:p>
          <w:p>
            <w:pPr>
              <w:keepNext w:val="0"/>
              <w:keepLines w:val="0"/>
              <w:pageBreakBefore w:val="0"/>
              <w:widowControl w:val="0"/>
              <w:kinsoku/>
              <w:wordWrap/>
              <w:overflowPunct/>
              <w:topLinePunct w:val="0"/>
              <w:autoSpaceDE/>
              <w:autoSpaceDN/>
              <w:bidi w:val="0"/>
              <w:adjustRightInd/>
              <w:spacing w:after="0"/>
              <w:ind w:firstLine="420" w:firstLineChars="200"/>
              <w:jc w:val="left"/>
              <w:textAlignment w:val="auto"/>
              <w:rPr>
                <w:rFonts w:ascii="Times New Roman" w:hAnsi="Times New Roman"/>
                <w:color w:val="000000"/>
                <w:szCs w:val="21"/>
              </w:rPr>
            </w:pPr>
            <w:r>
              <w:rPr>
                <w:rFonts w:ascii="Times New Roman" w:hAnsi="Times New Roman"/>
                <w:color w:val="000000"/>
                <w:szCs w:val="21"/>
              </w:rPr>
              <w:t>5. 软质泡沫塑料垫的检验项目为QB/T 1952.2</w:t>
            </w:r>
            <w:r>
              <w:rPr>
                <w:rFonts w:ascii="Times New Roman" w:hAnsi="Times New Roman"/>
                <w:szCs w:val="21"/>
              </w:rPr>
              <w:t>—</w:t>
            </w:r>
            <w:r>
              <w:rPr>
                <w:rFonts w:ascii="Times New Roman" w:hAnsi="Times New Roman"/>
                <w:color w:val="000000"/>
                <w:szCs w:val="21"/>
              </w:rPr>
              <w:t>2023标准中表3序号55、56；</w:t>
            </w:r>
          </w:p>
          <w:p>
            <w:pPr>
              <w:keepNext w:val="0"/>
              <w:keepLines w:val="0"/>
              <w:pageBreakBefore w:val="0"/>
              <w:widowControl w:val="0"/>
              <w:kinsoku/>
              <w:wordWrap/>
              <w:overflowPunct/>
              <w:topLinePunct w:val="0"/>
              <w:autoSpaceDE/>
              <w:autoSpaceDN/>
              <w:bidi w:val="0"/>
              <w:adjustRightInd/>
              <w:spacing w:after="0"/>
              <w:ind w:firstLine="420" w:firstLineChars="200"/>
              <w:jc w:val="left"/>
              <w:textAlignment w:val="auto"/>
              <w:rPr>
                <w:rFonts w:ascii="Times New Roman" w:hAnsi="Times New Roman"/>
                <w:color w:val="000000"/>
                <w:szCs w:val="21"/>
              </w:rPr>
            </w:pPr>
            <w:r>
              <w:rPr>
                <w:rFonts w:ascii="Times New Roman" w:hAnsi="Times New Roman"/>
                <w:color w:val="000000"/>
                <w:szCs w:val="21"/>
              </w:rPr>
              <w:t>6. 乳胶（乳胶棉）垫的检验项目为QB/T 1952.2</w:t>
            </w:r>
            <w:r>
              <w:rPr>
                <w:rFonts w:ascii="Times New Roman" w:hAnsi="Times New Roman"/>
                <w:szCs w:val="21"/>
              </w:rPr>
              <w:t>—</w:t>
            </w:r>
            <w:r>
              <w:rPr>
                <w:rFonts w:ascii="Times New Roman" w:hAnsi="Times New Roman"/>
                <w:color w:val="000000"/>
                <w:szCs w:val="21"/>
              </w:rPr>
              <w:t>2023标准中表3序号58；</w:t>
            </w:r>
          </w:p>
          <w:p>
            <w:pPr>
              <w:keepNext w:val="0"/>
              <w:keepLines w:val="0"/>
              <w:pageBreakBefore w:val="0"/>
              <w:widowControl w:val="0"/>
              <w:kinsoku/>
              <w:wordWrap/>
              <w:overflowPunct/>
              <w:topLinePunct w:val="0"/>
              <w:autoSpaceDE/>
              <w:autoSpaceDN/>
              <w:bidi w:val="0"/>
              <w:adjustRightInd/>
              <w:spacing w:after="0"/>
              <w:ind w:firstLine="420" w:firstLineChars="200"/>
              <w:jc w:val="left"/>
              <w:textAlignment w:val="auto"/>
              <w:rPr>
                <w:rFonts w:ascii="Times New Roman" w:hAnsi="Times New Roman"/>
                <w:color w:val="000000"/>
                <w:szCs w:val="21"/>
              </w:rPr>
            </w:pPr>
            <w:r>
              <w:rPr>
                <w:rFonts w:ascii="Times New Roman" w:hAnsi="Times New Roman"/>
                <w:color w:val="000000"/>
                <w:szCs w:val="21"/>
              </w:rPr>
              <w:t>7. 弹簧芯的检验项目为QB/T 1952.2</w:t>
            </w:r>
            <w:r>
              <w:rPr>
                <w:rFonts w:ascii="Times New Roman" w:hAnsi="Times New Roman"/>
                <w:szCs w:val="21"/>
              </w:rPr>
              <w:t>—</w:t>
            </w:r>
            <w:r>
              <w:rPr>
                <w:rFonts w:ascii="Times New Roman" w:hAnsi="Times New Roman"/>
                <w:color w:val="000000"/>
                <w:szCs w:val="21"/>
              </w:rPr>
              <w:t>2023标准中表3序号60；</w:t>
            </w:r>
          </w:p>
          <w:p>
            <w:pPr>
              <w:keepNext w:val="0"/>
              <w:keepLines w:val="0"/>
              <w:pageBreakBefore w:val="0"/>
              <w:widowControl w:val="0"/>
              <w:kinsoku/>
              <w:wordWrap/>
              <w:overflowPunct/>
              <w:topLinePunct w:val="0"/>
              <w:autoSpaceDE/>
              <w:autoSpaceDN/>
              <w:bidi w:val="0"/>
              <w:adjustRightInd/>
              <w:spacing w:after="0"/>
              <w:ind w:firstLine="420" w:firstLineChars="200"/>
              <w:jc w:val="left"/>
              <w:textAlignment w:val="auto"/>
              <w:rPr>
                <w:rFonts w:ascii="Times New Roman" w:hAnsi="Times New Roman"/>
                <w:color w:val="000000"/>
                <w:szCs w:val="21"/>
              </w:rPr>
            </w:pPr>
            <w:r>
              <w:rPr>
                <w:rFonts w:ascii="Times New Roman" w:hAnsi="Times New Roman"/>
                <w:color w:val="000000"/>
                <w:szCs w:val="21"/>
              </w:rPr>
              <w:t>8. 阻燃性项目检验时：如果试件两铺面用料、工艺、软硬度不一致且两面均可使用时，应分别在产品的两铺面进行测定。</w:t>
            </w:r>
          </w:p>
        </w:tc>
      </w:tr>
    </w:tbl>
    <w:p>
      <w:pPr>
        <w:snapToGrid w:val="0"/>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表2 棕纤维弹性床垫</w:t>
      </w:r>
    </w:p>
    <w:tbl>
      <w:tblPr>
        <w:tblStyle w:val="10"/>
        <w:tblW w:w="47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7"/>
        <w:gridCol w:w="2376"/>
        <w:gridCol w:w="2440"/>
        <w:gridCol w:w="2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8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黑体" w:hAnsi="黑体" w:eastAsia="黑体" w:cs="黑体"/>
                <w:szCs w:val="21"/>
                <w:lang w:val="en-US"/>
              </w:rPr>
            </w:pPr>
            <w:r>
              <w:rPr>
                <w:rFonts w:hint="eastAsia" w:ascii="黑体" w:hAnsi="黑体" w:eastAsia="黑体" w:cs="黑体"/>
                <w:kern w:val="2"/>
                <w:sz w:val="21"/>
                <w:szCs w:val="21"/>
                <w:lang w:val="en-US" w:eastAsia="zh-CN" w:bidi="ar-SA"/>
              </w:rPr>
              <w:t>序号</w:t>
            </w:r>
          </w:p>
        </w:tc>
        <w:tc>
          <w:tcPr>
            <w:tcW w:w="2779" w:type="pct"/>
            <w:gridSpan w:val="2"/>
            <w:vAlign w:val="center"/>
          </w:tcPr>
          <w:p>
            <w:pPr>
              <w:pStyle w:val="5"/>
              <w:keepNext w:val="0"/>
              <w:keepLines w:val="0"/>
              <w:pageBreakBefore w:val="0"/>
              <w:widowControl w:val="0"/>
              <w:kinsoku/>
              <w:wordWrap/>
              <w:overflowPunct/>
              <w:topLinePunct w:val="0"/>
              <w:autoSpaceDE/>
              <w:autoSpaceDN/>
              <w:bidi w:val="0"/>
              <w:adjustRightInd/>
              <w:snapToGrid/>
              <w:spacing w:after="0" w:line="440" w:lineRule="exact"/>
              <w:ind w:firstLine="420"/>
              <w:jc w:val="center"/>
              <w:textAlignment w:val="auto"/>
              <w:rPr>
                <w:rFonts w:hint="eastAsia" w:ascii="黑体" w:hAnsi="黑体" w:eastAsia="黑体" w:cs="黑体"/>
                <w:kern w:val="2"/>
                <w:sz w:val="21"/>
                <w:szCs w:val="21"/>
              </w:rPr>
            </w:pPr>
            <w:r>
              <w:rPr>
                <w:rFonts w:hint="eastAsia" w:ascii="黑体" w:hAnsi="黑体" w:eastAsia="黑体" w:cs="黑体"/>
                <w:kern w:val="2"/>
                <w:sz w:val="21"/>
                <w:szCs w:val="21"/>
              </w:rPr>
              <w:t>检验项目</w:t>
            </w:r>
          </w:p>
        </w:tc>
        <w:tc>
          <w:tcPr>
            <w:tcW w:w="1380" w:type="pct"/>
            <w:vAlign w:val="center"/>
          </w:tcPr>
          <w:p>
            <w:pPr>
              <w:pStyle w:val="5"/>
              <w:keepNext w:val="0"/>
              <w:keepLines w:val="0"/>
              <w:pageBreakBefore w:val="0"/>
              <w:widowControl w:val="0"/>
              <w:kinsoku/>
              <w:wordWrap/>
              <w:overflowPunct/>
              <w:topLinePunct w:val="0"/>
              <w:autoSpaceDE/>
              <w:autoSpaceDN/>
              <w:bidi w:val="0"/>
              <w:adjustRightInd/>
              <w:snapToGrid/>
              <w:spacing w:after="0" w:line="440" w:lineRule="exact"/>
              <w:ind w:firstLine="420"/>
              <w:jc w:val="center"/>
              <w:textAlignment w:val="auto"/>
              <w:rPr>
                <w:rFonts w:hint="eastAsia" w:ascii="黑体" w:hAnsi="黑体" w:eastAsia="黑体" w:cs="黑体"/>
                <w:kern w:val="2"/>
                <w:sz w:val="21"/>
                <w:szCs w:val="21"/>
              </w:rPr>
            </w:pPr>
            <w:r>
              <w:rPr>
                <w:rFonts w:hint="eastAsia" w:ascii="黑体" w:hAnsi="黑体" w:eastAsia="黑体" w:cs="黑体"/>
                <w:kern w:val="2"/>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00" w:type="pct"/>
            <w:gridSpan w:val="4"/>
            <w:tcBorders>
              <w:top w:val="single" w:color="auto" w:sz="4" w:space="0"/>
              <w:left w:val="single" w:color="auto" w:sz="4" w:space="0"/>
              <w:bottom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line="440" w:lineRule="exact"/>
              <w:ind w:firstLine="420"/>
              <w:jc w:val="left"/>
              <w:textAlignment w:val="auto"/>
              <w:rPr>
                <w:rFonts w:ascii="Times New Roman" w:hAnsi="Times New Roman"/>
                <w:kern w:val="2"/>
                <w:sz w:val="21"/>
                <w:szCs w:val="21"/>
              </w:rPr>
            </w:pPr>
            <w:r>
              <w:rPr>
                <w:rFonts w:hint="eastAsia" w:ascii="Times New Roman" w:hAnsi="Times New Roman"/>
                <w:kern w:val="2"/>
                <w:sz w:val="21"/>
                <w:szCs w:val="21"/>
              </w:rPr>
              <w:t>2026年3月后生产的棕纤维弹性床垫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841" w:type="pct"/>
            <w:tcBorders>
              <w:top w:val="single" w:color="auto" w:sz="4" w:space="0"/>
              <w:left w:val="single" w:color="auto" w:sz="4" w:space="0"/>
              <w:bottom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kern w:val="2"/>
                <w:sz w:val="21"/>
                <w:szCs w:val="21"/>
              </w:rPr>
            </w:pPr>
            <w:r>
              <w:rPr>
                <w:rFonts w:ascii="Times New Roman" w:hAnsi="Times New Roman"/>
                <w:kern w:val="2"/>
                <w:sz w:val="21"/>
                <w:szCs w:val="21"/>
              </w:rPr>
              <w:t>1</w:t>
            </w:r>
          </w:p>
        </w:tc>
        <w:tc>
          <w:tcPr>
            <w:tcW w:w="2779" w:type="pct"/>
            <w:gridSpan w:val="2"/>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面料及复合面料物理性能（耐摩擦色牢度）</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GB/T 26706—20</w:t>
            </w:r>
            <w:r>
              <w:rPr>
                <w:rFonts w:hint="eastAsia" w:ascii="Times New Roman" w:hAnsi="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kern w:val="2"/>
                <w:sz w:val="21"/>
                <w:szCs w:val="21"/>
              </w:rPr>
            </w:pPr>
            <w:r>
              <w:rPr>
                <w:rFonts w:ascii="Times New Roman" w:hAnsi="Times New Roman"/>
                <w:kern w:val="2"/>
                <w:sz w:val="21"/>
                <w:szCs w:val="21"/>
              </w:rPr>
              <w:t>2</w:t>
            </w:r>
          </w:p>
        </w:tc>
        <w:tc>
          <w:tcPr>
            <w:tcW w:w="1371"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芯料物理性能</w:t>
            </w: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含水率</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GB/T 26706—20</w:t>
            </w:r>
            <w:r>
              <w:rPr>
                <w:rFonts w:hint="eastAsia" w:ascii="Times New Roman" w:hAnsi="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kern w:val="2"/>
                <w:sz w:val="21"/>
                <w:szCs w:val="21"/>
              </w:rPr>
            </w:pPr>
            <w:r>
              <w:rPr>
                <w:rFonts w:ascii="Times New Roman" w:hAnsi="Times New Roman"/>
                <w:kern w:val="2"/>
                <w:sz w:val="21"/>
                <w:szCs w:val="21"/>
              </w:rPr>
              <w:t>3</w:t>
            </w:r>
          </w:p>
        </w:tc>
        <w:tc>
          <w:tcPr>
            <w:tcW w:w="1371" w:type="pct"/>
            <w:vMerge w:val="restar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hint="eastAsia" w:ascii="Times New Roman" w:hAnsi="Times New Roman"/>
                <w:szCs w:val="21"/>
              </w:rPr>
              <w:t>卫生安全性能</w:t>
            </w: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hint="eastAsia" w:ascii="Times New Roman" w:hAnsi="Times New Roman"/>
                <w:szCs w:val="21"/>
              </w:rPr>
              <w:t>霉变</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GB/T 26706—20</w:t>
            </w:r>
            <w:r>
              <w:rPr>
                <w:rFonts w:hint="eastAsia" w:ascii="Times New Roman" w:hAnsi="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kern w:val="2"/>
                <w:sz w:val="21"/>
                <w:szCs w:val="21"/>
              </w:rPr>
            </w:pPr>
            <w:r>
              <w:rPr>
                <w:rFonts w:hint="eastAsia" w:ascii="Times New Roman" w:hAnsi="Times New Roman"/>
                <w:kern w:val="2"/>
                <w:sz w:val="21"/>
                <w:szCs w:val="21"/>
              </w:rPr>
              <w:t>4</w:t>
            </w:r>
          </w:p>
        </w:tc>
        <w:tc>
          <w:tcPr>
            <w:tcW w:w="1371" w:type="pct"/>
            <w:vMerge w:val="continue"/>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hint="eastAsia" w:ascii="Times New Roman" w:hAnsi="Times New Roman"/>
                <w:szCs w:val="21"/>
              </w:rPr>
              <w:t>害虫及其污染物</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GB/T 26706—20</w:t>
            </w:r>
            <w:r>
              <w:rPr>
                <w:rFonts w:hint="eastAsia" w:ascii="Times New Roman" w:hAnsi="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kern w:val="2"/>
                <w:sz w:val="21"/>
                <w:szCs w:val="21"/>
              </w:rPr>
            </w:pPr>
            <w:r>
              <w:rPr>
                <w:rFonts w:hint="eastAsia" w:ascii="Times New Roman" w:hAnsi="Times New Roman"/>
                <w:kern w:val="2"/>
                <w:sz w:val="21"/>
                <w:szCs w:val="21"/>
              </w:rPr>
              <w:t>5</w:t>
            </w:r>
          </w:p>
        </w:tc>
        <w:tc>
          <w:tcPr>
            <w:tcW w:w="1371" w:type="pct"/>
            <w:vMerge w:val="continue"/>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hint="eastAsia" w:ascii="Times New Roman" w:hAnsi="Times New Roman"/>
                <w:szCs w:val="21"/>
              </w:rPr>
              <w:t>废旧制品</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GB/T 26706—20</w:t>
            </w:r>
            <w:r>
              <w:rPr>
                <w:rFonts w:hint="eastAsia" w:ascii="Times New Roman" w:hAnsi="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kern w:val="2"/>
                <w:sz w:val="21"/>
                <w:szCs w:val="21"/>
              </w:rPr>
            </w:pPr>
            <w:r>
              <w:rPr>
                <w:rFonts w:hint="eastAsia" w:ascii="Times New Roman" w:hAnsi="Times New Roman"/>
                <w:kern w:val="2"/>
                <w:sz w:val="21"/>
                <w:szCs w:val="21"/>
              </w:rPr>
              <w:t>6</w:t>
            </w:r>
          </w:p>
        </w:tc>
        <w:tc>
          <w:tcPr>
            <w:tcW w:w="1371" w:type="pct"/>
            <w:vMerge w:val="continue"/>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color w:val="000000"/>
                <w:szCs w:val="21"/>
              </w:rPr>
              <w:t>纤维性工业下脚料或用其加工的再生纤维状物质</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GB/T 26706—20</w:t>
            </w:r>
            <w:r>
              <w:rPr>
                <w:rFonts w:hint="eastAsia" w:ascii="Times New Roman" w:hAnsi="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kern w:val="2"/>
                <w:sz w:val="21"/>
                <w:szCs w:val="21"/>
              </w:rPr>
            </w:pPr>
            <w:r>
              <w:rPr>
                <w:rFonts w:hint="eastAsia" w:ascii="Times New Roman" w:hAnsi="Times New Roman"/>
                <w:kern w:val="2"/>
                <w:sz w:val="21"/>
                <w:szCs w:val="21"/>
              </w:rPr>
              <w:t>7</w:t>
            </w:r>
          </w:p>
        </w:tc>
        <w:tc>
          <w:tcPr>
            <w:tcW w:w="1371" w:type="pct"/>
            <w:vMerge w:val="continue"/>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hint="eastAsia" w:ascii="Times New Roman" w:hAnsi="Times New Roman"/>
                <w:szCs w:val="21"/>
              </w:rPr>
              <w:t>杂物</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GB/T 26706—20</w:t>
            </w:r>
            <w:r>
              <w:rPr>
                <w:rFonts w:hint="eastAsia" w:ascii="Times New Roman" w:hAnsi="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kern w:val="2"/>
                <w:sz w:val="21"/>
                <w:szCs w:val="21"/>
              </w:rPr>
            </w:pPr>
            <w:r>
              <w:rPr>
                <w:rFonts w:hint="eastAsia" w:ascii="Times New Roman" w:hAnsi="Times New Roman"/>
                <w:kern w:val="2"/>
                <w:sz w:val="21"/>
                <w:szCs w:val="21"/>
              </w:rPr>
              <w:t>8</w:t>
            </w:r>
          </w:p>
        </w:tc>
        <w:tc>
          <w:tcPr>
            <w:tcW w:w="1371" w:type="pct"/>
            <w:vMerge w:val="continue"/>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hint="eastAsia" w:ascii="Times New Roman" w:hAnsi="Times New Roman"/>
                <w:szCs w:val="21"/>
              </w:rPr>
              <w:t>异味</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GB/T 26706—20</w:t>
            </w:r>
            <w:r>
              <w:rPr>
                <w:rFonts w:hint="eastAsia" w:ascii="Times New Roman" w:hAnsi="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kern w:val="2"/>
                <w:sz w:val="21"/>
                <w:szCs w:val="21"/>
              </w:rPr>
            </w:pPr>
            <w:r>
              <w:rPr>
                <w:rFonts w:hint="eastAsia" w:ascii="Times New Roman" w:hAnsi="Times New Roman"/>
                <w:kern w:val="2"/>
                <w:sz w:val="21"/>
                <w:szCs w:val="21"/>
              </w:rPr>
              <w:t>9</w:t>
            </w:r>
          </w:p>
        </w:tc>
        <w:tc>
          <w:tcPr>
            <w:tcW w:w="1371" w:type="pct"/>
            <w:vMerge w:val="continue"/>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color w:val="000000"/>
                <w:szCs w:val="21"/>
              </w:rPr>
              <w:t>甲醛</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GB/T 26706—20</w:t>
            </w:r>
            <w:r>
              <w:rPr>
                <w:rFonts w:hint="eastAsia" w:ascii="Times New Roman" w:hAnsi="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kern w:val="2"/>
                <w:sz w:val="21"/>
                <w:szCs w:val="21"/>
              </w:rPr>
            </w:pPr>
            <w:r>
              <w:rPr>
                <w:rFonts w:hint="eastAsia" w:ascii="Times New Roman" w:hAnsi="Times New Roman"/>
                <w:kern w:val="2"/>
                <w:sz w:val="21"/>
                <w:szCs w:val="21"/>
              </w:rPr>
              <w:t>10</w:t>
            </w:r>
          </w:p>
        </w:tc>
        <w:tc>
          <w:tcPr>
            <w:tcW w:w="1371" w:type="pct"/>
            <w:vMerge w:val="continue"/>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color w:val="000000"/>
                <w:szCs w:val="21"/>
              </w:rPr>
              <w:t>苯</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GB/T 26706—20</w:t>
            </w:r>
            <w:r>
              <w:rPr>
                <w:rFonts w:hint="eastAsia" w:ascii="Times New Roman" w:hAnsi="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kern w:val="2"/>
                <w:sz w:val="21"/>
                <w:szCs w:val="21"/>
              </w:rPr>
            </w:pPr>
            <w:r>
              <w:rPr>
                <w:rFonts w:hint="eastAsia" w:ascii="Times New Roman" w:hAnsi="Times New Roman"/>
                <w:kern w:val="2"/>
                <w:sz w:val="21"/>
                <w:szCs w:val="21"/>
              </w:rPr>
              <w:t>11</w:t>
            </w:r>
          </w:p>
        </w:tc>
        <w:tc>
          <w:tcPr>
            <w:tcW w:w="1371" w:type="pct"/>
            <w:vMerge w:val="continue"/>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color w:val="000000"/>
                <w:szCs w:val="21"/>
              </w:rPr>
              <w:t>甲苯</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GB/T 26706—20</w:t>
            </w:r>
            <w:r>
              <w:rPr>
                <w:rFonts w:hint="eastAsia" w:ascii="Times New Roman" w:hAnsi="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kern w:val="2"/>
                <w:sz w:val="21"/>
                <w:szCs w:val="21"/>
              </w:rPr>
            </w:pPr>
            <w:r>
              <w:rPr>
                <w:rFonts w:hint="eastAsia" w:ascii="Times New Roman" w:hAnsi="Times New Roman"/>
                <w:kern w:val="2"/>
                <w:sz w:val="21"/>
                <w:szCs w:val="21"/>
              </w:rPr>
              <w:t>12</w:t>
            </w:r>
          </w:p>
        </w:tc>
        <w:tc>
          <w:tcPr>
            <w:tcW w:w="1371" w:type="pct"/>
            <w:vMerge w:val="continue"/>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color w:val="000000"/>
                <w:szCs w:val="21"/>
              </w:rPr>
              <w:t>二甲苯（邻、间、对二甲苯之和）</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GB/T 26706—20</w:t>
            </w:r>
            <w:r>
              <w:rPr>
                <w:rFonts w:hint="eastAsia" w:ascii="Times New Roman" w:hAnsi="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kern w:val="2"/>
                <w:sz w:val="21"/>
                <w:szCs w:val="21"/>
              </w:rPr>
            </w:pPr>
            <w:r>
              <w:rPr>
                <w:rFonts w:hint="eastAsia" w:ascii="Times New Roman" w:hAnsi="Times New Roman"/>
                <w:kern w:val="2"/>
                <w:sz w:val="21"/>
                <w:szCs w:val="21"/>
              </w:rPr>
              <w:t>13</w:t>
            </w:r>
          </w:p>
        </w:tc>
        <w:tc>
          <w:tcPr>
            <w:tcW w:w="1371" w:type="pct"/>
            <w:vMerge w:val="continue"/>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color w:val="000000"/>
                <w:szCs w:val="21"/>
              </w:rPr>
              <w:t>总挥发性有机化合物(TVOC)</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GB/T 26706—20</w:t>
            </w:r>
            <w:r>
              <w:rPr>
                <w:rFonts w:hint="eastAsia" w:ascii="Times New Roman" w:hAnsi="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jc w:val="center"/>
        </w:trPr>
        <w:tc>
          <w:tcPr>
            <w:tcW w:w="841" w:type="pct"/>
            <w:tcBorders>
              <w:left w:val="single" w:color="auto" w:sz="4" w:space="0"/>
              <w:bottom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kern w:val="2"/>
                <w:sz w:val="21"/>
                <w:szCs w:val="21"/>
              </w:rPr>
            </w:pPr>
            <w:r>
              <w:rPr>
                <w:rFonts w:hint="eastAsia" w:ascii="Times New Roman" w:hAnsi="Times New Roman"/>
                <w:kern w:val="2"/>
                <w:sz w:val="21"/>
                <w:szCs w:val="21"/>
              </w:rPr>
              <w:t>14</w:t>
            </w:r>
          </w:p>
        </w:tc>
        <w:tc>
          <w:tcPr>
            <w:tcW w:w="1371" w:type="pct"/>
            <w:vMerge w:val="continue"/>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hint="eastAsia" w:ascii="Times New Roman" w:hAnsi="Times New Roman"/>
                <w:szCs w:val="21"/>
              </w:rPr>
              <w:t>可分解芳香胺染料</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GB/T 26706—20</w:t>
            </w:r>
            <w:r>
              <w:rPr>
                <w:rFonts w:hint="eastAsia" w:ascii="Times New Roman" w:hAnsi="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841" w:type="pct"/>
            <w:tcBorders>
              <w:left w:val="single" w:color="auto" w:sz="4" w:space="0"/>
              <w:bottom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kern w:val="2"/>
                <w:sz w:val="21"/>
                <w:szCs w:val="21"/>
              </w:rPr>
            </w:pPr>
            <w:r>
              <w:rPr>
                <w:rFonts w:hint="eastAsia" w:ascii="Times New Roman" w:hAnsi="Times New Roman"/>
                <w:kern w:val="2"/>
                <w:sz w:val="21"/>
                <w:szCs w:val="21"/>
              </w:rPr>
              <w:t>15</w:t>
            </w:r>
          </w:p>
        </w:tc>
        <w:tc>
          <w:tcPr>
            <w:tcW w:w="2779" w:type="pct"/>
            <w:gridSpan w:val="2"/>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耐久性</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GB/T 26706—20</w:t>
            </w:r>
            <w:r>
              <w:rPr>
                <w:rFonts w:hint="eastAsia" w:ascii="Times New Roman" w:hAnsi="Times New Roman"/>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1" w:type="pct"/>
            <w:tcBorders>
              <w:top w:val="single" w:color="auto" w:sz="4" w:space="0"/>
              <w:left w:val="single" w:color="auto" w:sz="4" w:space="0"/>
              <w:bottom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kern w:val="2"/>
                <w:sz w:val="21"/>
                <w:szCs w:val="21"/>
              </w:rPr>
            </w:pPr>
            <w:r>
              <w:rPr>
                <w:rFonts w:hint="eastAsia" w:ascii="Times New Roman" w:hAnsi="Times New Roman"/>
                <w:kern w:val="2"/>
                <w:sz w:val="21"/>
                <w:szCs w:val="21"/>
              </w:rPr>
              <w:t>16</w:t>
            </w:r>
          </w:p>
        </w:tc>
        <w:tc>
          <w:tcPr>
            <w:tcW w:w="2779" w:type="pct"/>
            <w:gridSpan w:val="2"/>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hint="eastAsia" w:ascii="Times New Roman" w:hAnsi="Times New Roman"/>
                <w:szCs w:val="21"/>
              </w:rPr>
              <w:t>阻燃性</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szCs w:val="21"/>
              </w:rPr>
            </w:pPr>
            <w:r>
              <w:rPr>
                <w:rFonts w:ascii="Times New Roman" w:hAnsi="Times New Roman"/>
                <w:szCs w:val="21"/>
              </w:rPr>
              <w:t>GB 17927—2024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000" w:type="pct"/>
            <w:gridSpan w:val="4"/>
            <w:tcBorders>
              <w:top w:val="single" w:color="auto" w:sz="4" w:space="0"/>
              <w:left w:val="single" w:color="auto" w:sz="4" w:space="0"/>
              <w:bottom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line="440" w:lineRule="exact"/>
              <w:ind w:firstLine="420"/>
              <w:jc w:val="left"/>
              <w:textAlignment w:val="auto"/>
              <w:rPr>
                <w:rFonts w:ascii="Times New Roman" w:hAnsi="Times New Roman"/>
                <w:kern w:val="2"/>
                <w:sz w:val="21"/>
                <w:szCs w:val="21"/>
              </w:rPr>
            </w:pPr>
            <w:r>
              <w:rPr>
                <w:rFonts w:hint="eastAsia" w:ascii="Times New Roman" w:hAnsi="Times New Roman"/>
                <w:kern w:val="2"/>
                <w:sz w:val="21"/>
                <w:szCs w:val="21"/>
              </w:rPr>
              <w:t>2026年3月前生产的棕纤维弹性床垫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841" w:type="pct"/>
            <w:tcBorders>
              <w:top w:val="single" w:color="auto" w:sz="4" w:space="0"/>
              <w:left w:val="single" w:color="auto" w:sz="4" w:space="0"/>
              <w:bottom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kern w:val="2"/>
                <w:sz w:val="21"/>
                <w:szCs w:val="21"/>
              </w:rPr>
            </w:pPr>
            <w:r>
              <w:rPr>
                <w:rFonts w:ascii="Times New Roman" w:hAnsi="Times New Roman"/>
                <w:kern w:val="2"/>
                <w:sz w:val="21"/>
                <w:szCs w:val="21"/>
              </w:rPr>
              <w:t>1</w:t>
            </w:r>
          </w:p>
        </w:tc>
        <w:tc>
          <w:tcPr>
            <w:tcW w:w="2779" w:type="pct"/>
            <w:gridSpan w:val="2"/>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ascii="Times New Roman" w:hAnsi="Times New Roman"/>
                <w:szCs w:val="21"/>
              </w:rPr>
              <w:t>面料及复合面料物理性能（耐摩擦色牢度）</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ascii="Times New Roman" w:hAnsi="Times New Roman"/>
                <w:szCs w:val="21"/>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841" w:type="pct"/>
            <w:vMerge w:val="restar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kern w:val="2"/>
                <w:sz w:val="21"/>
                <w:szCs w:val="21"/>
              </w:rPr>
            </w:pPr>
            <w:r>
              <w:rPr>
                <w:rFonts w:ascii="Times New Roman" w:hAnsi="Times New Roman"/>
                <w:kern w:val="2"/>
                <w:sz w:val="21"/>
                <w:szCs w:val="21"/>
              </w:rPr>
              <w:t>2</w:t>
            </w:r>
          </w:p>
        </w:tc>
        <w:tc>
          <w:tcPr>
            <w:tcW w:w="1371" w:type="pct"/>
            <w:vMerge w:val="restar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ascii="Times New Roman" w:hAnsi="Times New Roman"/>
                <w:szCs w:val="21"/>
              </w:rPr>
              <w:t>芯料物理性能</w:t>
            </w: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ascii="Times New Roman" w:hAnsi="Times New Roman"/>
                <w:szCs w:val="21"/>
              </w:rPr>
              <w:t>含水率</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ascii="Times New Roman" w:hAnsi="Times New Roman"/>
                <w:szCs w:val="21"/>
              </w:rPr>
              <w:t>GB/T 26706—2011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41" w:type="pct"/>
            <w:vMerge w:val="continue"/>
            <w:tcBorders>
              <w:left w:val="single" w:color="auto" w:sz="4" w:space="0"/>
              <w:bottom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line="279" w:lineRule="auto"/>
              <w:ind w:firstLine="420"/>
              <w:jc w:val="center"/>
              <w:rPr>
                <w:rFonts w:ascii="Times New Roman" w:hAnsi="Times New Roman"/>
                <w:kern w:val="2"/>
                <w:sz w:val="21"/>
                <w:szCs w:val="21"/>
              </w:rPr>
            </w:pPr>
          </w:p>
        </w:tc>
        <w:tc>
          <w:tcPr>
            <w:tcW w:w="1371" w:type="pct"/>
            <w:vMerge w:val="continue"/>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ascii="Times New Roman" w:hAnsi="Times New Roman"/>
                <w:szCs w:val="21"/>
              </w:rPr>
              <w:t>压缩永久变形率</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ascii="Times New Roman" w:hAnsi="Times New Roman"/>
                <w:szCs w:val="21"/>
              </w:rPr>
              <w:t>GB/T 26706—2011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kern w:val="2"/>
                <w:sz w:val="21"/>
                <w:szCs w:val="21"/>
              </w:rPr>
            </w:pPr>
            <w:r>
              <w:rPr>
                <w:rFonts w:ascii="Times New Roman" w:hAnsi="Times New Roman"/>
                <w:kern w:val="2"/>
                <w:sz w:val="21"/>
                <w:szCs w:val="21"/>
              </w:rPr>
              <w:t>3</w:t>
            </w:r>
          </w:p>
        </w:tc>
        <w:tc>
          <w:tcPr>
            <w:tcW w:w="2779" w:type="pct"/>
            <w:gridSpan w:val="2"/>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ascii="Times New Roman" w:hAnsi="Times New Roman"/>
                <w:szCs w:val="21"/>
              </w:rPr>
              <w:t>安全卫生要求（表3—序号31、33~37）</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ascii="Times New Roman" w:hAnsi="Times New Roman"/>
                <w:szCs w:val="21"/>
              </w:rPr>
              <w:t>GB/T 26706—2011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kern w:val="2"/>
                <w:sz w:val="21"/>
                <w:szCs w:val="21"/>
              </w:rPr>
            </w:pPr>
            <w:r>
              <w:rPr>
                <w:rFonts w:hint="eastAsia" w:ascii="Times New Roman" w:hAnsi="Times New Roman"/>
                <w:kern w:val="2"/>
                <w:sz w:val="21"/>
                <w:szCs w:val="21"/>
              </w:rPr>
              <w:t>4</w:t>
            </w:r>
          </w:p>
        </w:tc>
        <w:tc>
          <w:tcPr>
            <w:tcW w:w="1371" w:type="pct"/>
            <w:vMerge w:val="restar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hint="eastAsia" w:ascii="Times New Roman" w:hAnsi="Times New Roman"/>
                <w:szCs w:val="21"/>
              </w:rPr>
              <w:t>有害物质限量</w:t>
            </w: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ascii="Times New Roman" w:hAnsi="Times New Roman"/>
                <w:color w:val="000000"/>
                <w:szCs w:val="21"/>
              </w:rPr>
              <w:t>甲醛</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hint="eastAsia" w:ascii="Times New Roman" w:hAnsi="Times New Roman"/>
                <w:szCs w:val="21"/>
              </w:rPr>
              <w:t>GB 18584</w:t>
            </w:r>
            <w:r>
              <w:rPr>
                <w:rFonts w:ascii="Times New Roman" w:hAnsi="Times New Roman"/>
                <w:szCs w:val="21"/>
              </w:rPr>
              <w:t>—</w:t>
            </w:r>
            <w:r>
              <w:rPr>
                <w:rFonts w:hint="eastAsia" w:ascii="Times New Roman" w:hAnsi="Times New Roman"/>
                <w:szCs w:val="21"/>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kern w:val="2"/>
                <w:sz w:val="21"/>
                <w:szCs w:val="21"/>
              </w:rPr>
            </w:pPr>
            <w:r>
              <w:rPr>
                <w:rFonts w:hint="eastAsia" w:ascii="Times New Roman" w:hAnsi="Times New Roman"/>
                <w:kern w:val="2"/>
                <w:sz w:val="21"/>
                <w:szCs w:val="21"/>
              </w:rPr>
              <w:t>5</w:t>
            </w:r>
          </w:p>
        </w:tc>
        <w:tc>
          <w:tcPr>
            <w:tcW w:w="1371" w:type="pct"/>
            <w:vMerge w:val="continue"/>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ascii="Times New Roman" w:hAnsi="Times New Roman"/>
                <w:color w:val="000000"/>
                <w:szCs w:val="21"/>
              </w:rPr>
              <w:t>苯</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hint="eastAsia" w:ascii="Times New Roman" w:hAnsi="Times New Roman"/>
                <w:szCs w:val="21"/>
              </w:rPr>
              <w:t>GB 18584</w:t>
            </w:r>
            <w:r>
              <w:rPr>
                <w:rFonts w:ascii="Times New Roman" w:hAnsi="Times New Roman"/>
                <w:szCs w:val="21"/>
              </w:rPr>
              <w:t>—</w:t>
            </w:r>
            <w:r>
              <w:rPr>
                <w:rFonts w:hint="eastAsia" w:ascii="Times New Roman" w:hAnsi="Times New Roman"/>
                <w:szCs w:val="21"/>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kern w:val="2"/>
                <w:sz w:val="21"/>
                <w:szCs w:val="21"/>
              </w:rPr>
            </w:pPr>
            <w:r>
              <w:rPr>
                <w:rFonts w:hint="eastAsia" w:ascii="Times New Roman" w:hAnsi="Times New Roman"/>
                <w:kern w:val="2"/>
                <w:sz w:val="21"/>
                <w:szCs w:val="21"/>
              </w:rPr>
              <w:t>6</w:t>
            </w:r>
          </w:p>
        </w:tc>
        <w:tc>
          <w:tcPr>
            <w:tcW w:w="1371" w:type="pct"/>
            <w:vMerge w:val="continue"/>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ascii="Times New Roman" w:hAnsi="Times New Roman"/>
                <w:color w:val="000000"/>
                <w:szCs w:val="21"/>
              </w:rPr>
              <w:t>甲苯</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hint="eastAsia" w:ascii="Times New Roman" w:hAnsi="Times New Roman"/>
                <w:szCs w:val="21"/>
              </w:rPr>
              <w:t>GB 18584</w:t>
            </w:r>
            <w:r>
              <w:rPr>
                <w:rFonts w:ascii="Times New Roman" w:hAnsi="Times New Roman"/>
                <w:szCs w:val="21"/>
              </w:rPr>
              <w:t>—</w:t>
            </w:r>
            <w:r>
              <w:rPr>
                <w:rFonts w:hint="eastAsia" w:ascii="Times New Roman" w:hAnsi="Times New Roman"/>
                <w:szCs w:val="21"/>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kern w:val="2"/>
                <w:sz w:val="21"/>
                <w:szCs w:val="21"/>
              </w:rPr>
            </w:pPr>
            <w:r>
              <w:rPr>
                <w:rFonts w:hint="eastAsia" w:ascii="Times New Roman" w:hAnsi="Times New Roman"/>
                <w:kern w:val="2"/>
                <w:sz w:val="21"/>
                <w:szCs w:val="21"/>
              </w:rPr>
              <w:t>7</w:t>
            </w:r>
          </w:p>
        </w:tc>
        <w:tc>
          <w:tcPr>
            <w:tcW w:w="1371" w:type="pct"/>
            <w:vMerge w:val="continue"/>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ascii="Times New Roman" w:hAnsi="Times New Roman"/>
                <w:color w:val="000000"/>
                <w:szCs w:val="21"/>
              </w:rPr>
              <w:t>二甲苯（邻、间、对二甲苯之和）</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hint="eastAsia" w:ascii="Times New Roman" w:hAnsi="Times New Roman"/>
                <w:szCs w:val="21"/>
              </w:rPr>
              <w:t>GB 18584</w:t>
            </w:r>
            <w:r>
              <w:rPr>
                <w:rFonts w:ascii="Times New Roman" w:hAnsi="Times New Roman"/>
                <w:szCs w:val="21"/>
              </w:rPr>
              <w:t>—</w:t>
            </w:r>
            <w:r>
              <w:rPr>
                <w:rFonts w:hint="eastAsia" w:ascii="Times New Roman" w:hAnsi="Times New Roman"/>
                <w:szCs w:val="21"/>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841" w:type="pct"/>
            <w:tcBorders>
              <w:top w:val="single" w:color="auto" w:sz="4" w:space="0"/>
              <w:left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kern w:val="2"/>
                <w:sz w:val="21"/>
                <w:szCs w:val="21"/>
              </w:rPr>
            </w:pPr>
            <w:r>
              <w:rPr>
                <w:rFonts w:hint="eastAsia" w:ascii="Times New Roman" w:hAnsi="Times New Roman"/>
                <w:kern w:val="2"/>
                <w:sz w:val="21"/>
                <w:szCs w:val="21"/>
              </w:rPr>
              <w:t>8</w:t>
            </w:r>
          </w:p>
        </w:tc>
        <w:tc>
          <w:tcPr>
            <w:tcW w:w="1371" w:type="pct"/>
            <w:vMerge w:val="continue"/>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ascii="Times New Roman" w:hAnsi="Times New Roman"/>
                <w:color w:val="000000"/>
                <w:szCs w:val="21"/>
              </w:rPr>
              <w:t>总挥发性有机化合物(TVOC)</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hint="eastAsia" w:ascii="Times New Roman" w:hAnsi="Times New Roman"/>
                <w:szCs w:val="21"/>
              </w:rPr>
              <w:t>GB 18584</w:t>
            </w:r>
            <w:r>
              <w:rPr>
                <w:rFonts w:ascii="Times New Roman" w:hAnsi="Times New Roman"/>
                <w:szCs w:val="21"/>
              </w:rPr>
              <w:t>—</w:t>
            </w:r>
            <w:r>
              <w:rPr>
                <w:rFonts w:hint="eastAsia" w:ascii="Times New Roman" w:hAnsi="Times New Roman"/>
                <w:szCs w:val="21"/>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841" w:type="pct"/>
            <w:tcBorders>
              <w:left w:val="single" w:color="auto" w:sz="4" w:space="0"/>
              <w:bottom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kern w:val="2"/>
                <w:sz w:val="21"/>
                <w:szCs w:val="21"/>
              </w:rPr>
            </w:pPr>
            <w:r>
              <w:rPr>
                <w:rFonts w:hint="eastAsia" w:ascii="Times New Roman" w:hAnsi="Times New Roman"/>
                <w:kern w:val="2"/>
                <w:sz w:val="21"/>
                <w:szCs w:val="21"/>
              </w:rPr>
              <w:t>9</w:t>
            </w:r>
          </w:p>
        </w:tc>
        <w:tc>
          <w:tcPr>
            <w:tcW w:w="2779" w:type="pct"/>
            <w:gridSpan w:val="2"/>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ascii="Times New Roman" w:hAnsi="Times New Roman"/>
                <w:szCs w:val="21"/>
              </w:rPr>
              <w:t>耐久性要求</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ascii="Times New Roman" w:hAnsi="Times New Roman"/>
                <w:szCs w:val="21"/>
              </w:rPr>
              <w:t>GB/T 26706—2011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1" w:type="pct"/>
            <w:tcBorders>
              <w:top w:val="single" w:color="auto" w:sz="4" w:space="0"/>
              <w:left w:val="single" w:color="auto" w:sz="4" w:space="0"/>
              <w:bottom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kern w:val="2"/>
                <w:sz w:val="21"/>
                <w:szCs w:val="21"/>
              </w:rPr>
            </w:pPr>
            <w:r>
              <w:rPr>
                <w:rFonts w:hint="eastAsia" w:ascii="Times New Roman" w:hAnsi="Times New Roman"/>
                <w:kern w:val="2"/>
                <w:sz w:val="21"/>
                <w:szCs w:val="21"/>
              </w:rPr>
              <w:t>10</w:t>
            </w:r>
          </w:p>
        </w:tc>
        <w:tc>
          <w:tcPr>
            <w:tcW w:w="2779" w:type="pct"/>
            <w:gridSpan w:val="2"/>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rPr>
                <w:rFonts w:ascii="Times New Roman" w:hAnsi="Times New Roman"/>
                <w:szCs w:val="21"/>
              </w:rPr>
            </w:pPr>
            <w:r>
              <w:rPr>
                <w:rFonts w:ascii="Times New Roman" w:hAnsi="Times New Roman"/>
                <w:szCs w:val="21"/>
              </w:rPr>
              <w:t>抗引燃特性</w:t>
            </w:r>
          </w:p>
        </w:tc>
        <w:tc>
          <w:tcPr>
            <w:tcW w:w="1380" w:type="pct"/>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center"/>
              <w:rPr>
                <w:rFonts w:ascii="Times New Roman" w:hAnsi="Times New Roman"/>
                <w:szCs w:val="21"/>
              </w:rPr>
            </w:pPr>
            <w:r>
              <w:rPr>
                <w:rFonts w:ascii="Times New Roman" w:hAnsi="Times New Roman"/>
                <w:szCs w:val="21"/>
              </w:rPr>
              <w:t>GB 17927—2024</w:t>
            </w:r>
          </w:p>
        </w:tc>
      </w:tr>
    </w:tbl>
    <w:p>
      <w:pPr>
        <w:keepNext w:val="0"/>
        <w:keepLines w:val="0"/>
        <w:pageBreakBefore w:val="0"/>
        <w:widowControl w:val="0"/>
        <w:kinsoku/>
        <w:wordWrap/>
        <w:overflowPunct/>
        <w:topLinePunct w:val="0"/>
        <w:autoSpaceDE/>
        <w:autoSpaceDN/>
        <w:bidi w:val="0"/>
        <w:adjustRightInd w:val="0"/>
        <w:snapToGrid w:val="0"/>
        <w:spacing w:after="0"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snapToGrid w:val="0"/>
        <w:spacing w:after="0"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snapToGrid w:val="0"/>
        <w:spacing w:after="0" w:line="440" w:lineRule="exact"/>
        <w:ind w:firstLine="420" w:firstLineChars="200"/>
        <w:textAlignment w:val="auto"/>
        <w:rPr>
          <w:rFonts w:ascii="Times New Roman" w:hAnsi="Times New Roman"/>
          <w:color w:val="000000"/>
          <w:szCs w:val="21"/>
        </w:rPr>
      </w:pPr>
    </w:p>
    <w:p>
      <w:pPr>
        <w:keepNext w:val="0"/>
        <w:keepLines w:val="0"/>
        <w:pageBreakBefore w:val="0"/>
        <w:widowControl w:val="0"/>
        <w:kinsoku/>
        <w:wordWrap/>
        <w:overflowPunct/>
        <w:topLinePunct w:val="0"/>
        <w:autoSpaceDE/>
        <w:autoSpaceDN/>
        <w:bidi w:val="0"/>
        <w:spacing w:after="0" w:line="360" w:lineRule="auto"/>
        <w:textAlignment w:val="auto"/>
        <w:rPr>
          <w:rFonts w:ascii="Times New Roman" w:hAnsi="Times New Roman" w:eastAsia="黑体"/>
          <w:color w:val="000000"/>
          <w:szCs w:val="21"/>
        </w:rPr>
      </w:pPr>
      <w:r>
        <w:rPr>
          <w:rFonts w:ascii="Times New Roman" w:hAnsi="Times New Roman" w:eastAsia="黑体"/>
          <w:color w:val="000000"/>
          <w:szCs w:val="21"/>
        </w:rPr>
        <w:t>3 判定规则</w:t>
      </w:r>
      <w:bookmarkStart w:id="0" w:name="_GoBack"/>
      <w:bookmarkEnd w:id="0"/>
    </w:p>
    <w:p>
      <w:pPr>
        <w:keepNext w:val="0"/>
        <w:keepLines w:val="0"/>
        <w:pageBreakBefore w:val="0"/>
        <w:widowControl w:val="0"/>
        <w:kinsoku/>
        <w:wordWrap/>
        <w:overflowPunct/>
        <w:topLinePunct w:val="0"/>
        <w:autoSpaceDE/>
        <w:autoSpaceDN/>
        <w:bidi w:val="0"/>
        <w:snapToGrid w:val="0"/>
        <w:spacing w:after="0" w:line="360" w:lineRule="auto"/>
        <w:textAlignment w:val="auto"/>
        <w:rPr>
          <w:rFonts w:ascii="Times New Roman" w:hAnsi="Times New Roman"/>
          <w:color w:val="000000"/>
          <w:szCs w:val="21"/>
        </w:rPr>
      </w:pPr>
      <w:r>
        <w:rPr>
          <w:rFonts w:ascii="Times New Roman" w:hAnsi="Times New Roman"/>
          <w:color w:val="000000"/>
          <w:szCs w:val="21"/>
        </w:rPr>
        <w:t>3.1依据标准</w:t>
      </w:r>
    </w:p>
    <w:p>
      <w:pPr>
        <w:keepNext w:val="0"/>
        <w:keepLines w:val="0"/>
        <w:pageBreakBefore w:val="0"/>
        <w:widowControl w:val="0"/>
        <w:kinsoku/>
        <w:wordWrap/>
        <w:overflowPunct/>
        <w:topLinePunct w:val="0"/>
        <w:autoSpaceDE/>
        <w:autoSpaceDN/>
        <w:bidi w:val="0"/>
        <w:snapToGrid w:val="0"/>
        <w:spacing w:after="0" w:line="384" w:lineRule="auto"/>
        <w:ind w:firstLine="420" w:firstLineChars="200"/>
        <w:textAlignment w:val="auto"/>
        <w:rPr>
          <w:rFonts w:ascii="Times New Roman" w:hAnsi="Times New Roman"/>
          <w:color w:val="000000"/>
          <w:szCs w:val="21"/>
        </w:rPr>
      </w:pPr>
      <w:r>
        <w:rPr>
          <w:rFonts w:ascii="Times New Roman" w:hAnsi="Times New Roman"/>
          <w:szCs w:val="21"/>
        </w:rPr>
        <w:t>GB 17927—2024</w:t>
      </w:r>
      <w:r>
        <w:rPr>
          <w:rFonts w:ascii="Times New Roman" w:hAnsi="Times New Roman"/>
          <w:color w:val="000000"/>
          <w:szCs w:val="21"/>
        </w:rPr>
        <w:t xml:space="preserve"> 家具阻燃性能安全技术规范</w:t>
      </w:r>
    </w:p>
    <w:p>
      <w:pPr>
        <w:keepNext w:val="0"/>
        <w:keepLines w:val="0"/>
        <w:pageBreakBefore w:val="0"/>
        <w:widowControl w:val="0"/>
        <w:kinsoku/>
        <w:wordWrap/>
        <w:overflowPunct/>
        <w:topLinePunct w:val="0"/>
        <w:autoSpaceDE/>
        <w:autoSpaceDN/>
        <w:bidi w:val="0"/>
        <w:snapToGrid w:val="0"/>
        <w:spacing w:after="0" w:line="384" w:lineRule="auto"/>
        <w:ind w:firstLine="420" w:firstLineChars="200"/>
        <w:textAlignment w:val="auto"/>
        <w:rPr>
          <w:rFonts w:ascii="Times New Roman" w:hAnsi="Times New Roman"/>
          <w:color w:val="000000"/>
          <w:szCs w:val="21"/>
        </w:rPr>
      </w:pPr>
      <w:r>
        <w:rPr>
          <w:rFonts w:ascii="Times New Roman" w:hAnsi="Times New Roman"/>
          <w:color w:val="000000"/>
          <w:szCs w:val="21"/>
        </w:rPr>
        <w:t>GB 18584</w:t>
      </w:r>
      <w:r>
        <w:rPr>
          <w:rFonts w:ascii="Times New Roman" w:hAnsi="Times New Roman"/>
          <w:szCs w:val="21"/>
        </w:rPr>
        <w:t>—</w:t>
      </w:r>
      <w:r>
        <w:rPr>
          <w:rFonts w:ascii="Times New Roman" w:hAnsi="Times New Roman"/>
          <w:color w:val="000000"/>
          <w:szCs w:val="21"/>
        </w:rPr>
        <w:t>2024</w:t>
      </w:r>
      <w:r>
        <w:rPr>
          <w:rFonts w:hint="eastAsia" w:ascii="Times New Roman" w:hAnsi="Times New Roman"/>
          <w:color w:val="000000"/>
          <w:szCs w:val="21"/>
        </w:rPr>
        <w:t xml:space="preserve"> </w:t>
      </w:r>
      <w:r>
        <w:rPr>
          <w:rFonts w:ascii="Times New Roman" w:hAnsi="Times New Roman"/>
          <w:color w:val="000000"/>
          <w:szCs w:val="21"/>
        </w:rPr>
        <w:t>家具中有害物质限量</w:t>
      </w:r>
    </w:p>
    <w:p>
      <w:pPr>
        <w:keepNext w:val="0"/>
        <w:keepLines w:val="0"/>
        <w:pageBreakBefore w:val="0"/>
        <w:widowControl w:val="0"/>
        <w:kinsoku/>
        <w:wordWrap/>
        <w:overflowPunct/>
        <w:topLinePunct w:val="0"/>
        <w:autoSpaceDE/>
        <w:autoSpaceDN/>
        <w:bidi w:val="0"/>
        <w:snapToGrid w:val="0"/>
        <w:spacing w:after="0" w:line="384" w:lineRule="auto"/>
        <w:ind w:firstLine="420" w:firstLineChars="200"/>
        <w:textAlignment w:val="auto"/>
        <w:rPr>
          <w:rFonts w:ascii="Times New Roman" w:hAnsi="Times New Roman"/>
          <w:color w:val="000000"/>
          <w:szCs w:val="21"/>
        </w:rPr>
      </w:pPr>
      <w:r>
        <w:rPr>
          <w:rFonts w:ascii="Times New Roman" w:hAnsi="Times New Roman"/>
          <w:color w:val="000000"/>
          <w:szCs w:val="21"/>
        </w:rPr>
        <w:t>GB/T 26706—2011 软体家具</w:t>
      </w:r>
      <w:r>
        <w:rPr>
          <w:rFonts w:hint="eastAsia" w:ascii="Times New Roman" w:hAnsi="Times New Roman"/>
          <w:color w:val="000000"/>
          <w:szCs w:val="21"/>
        </w:rPr>
        <w:t xml:space="preserve"> </w:t>
      </w:r>
      <w:r>
        <w:rPr>
          <w:rFonts w:ascii="Times New Roman" w:hAnsi="Times New Roman"/>
          <w:color w:val="000000"/>
          <w:szCs w:val="21"/>
        </w:rPr>
        <w:t>棕纤维弹性床垫</w:t>
      </w:r>
    </w:p>
    <w:p>
      <w:pPr>
        <w:keepNext w:val="0"/>
        <w:keepLines w:val="0"/>
        <w:pageBreakBefore w:val="0"/>
        <w:widowControl w:val="0"/>
        <w:kinsoku/>
        <w:wordWrap/>
        <w:overflowPunct/>
        <w:topLinePunct w:val="0"/>
        <w:autoSpaceDE/>
        <w:autoSpaceDN/>
        <w:bidi w:val="0"/>
        <w:snapToGrid w:val="0"/>
        <w:spacing w:after="0" w:line="384" w:lineRule="auto"/>
        <w:ind w:firstLine="420" w:firstLineChars="200"/>
        <w:textAlignment w:val="auto"/>
        <w:rPr>
          <w:rFonts w:ascii="Times New Roman" w:hAnsi="Times New Roman"/>
          <w:color w:val="000000"/>
          <w:szCs w:val="21"/>
        </w:rPr>
      </w:pPr>
      <w:r>
        <w:rPr>
          <w:rFonts w:ascii="Times New Roman" w:hAnsi="Times New Roman"/>
          <w:color w:val="000000"/>
          <w:szCs w:val="21"/>
        </w:rPr>
        <w:t>GB/T 26706—20</w:t>
      </w:r>
      <w:r>
        <w:rPr>
          <w:rFonts w:hint="eastAsia" w:ascii="Times New Roman" w:hAnsi="Times New Roman"/>
          <w:color w:val="000000"/>
          <w:szCs w:val="21"/>
        </w:rPr>
        <w:t>25</w:t>
      </w:r>
      <w:r>
        <w:rPr>
          <w:rFonts w:ascii="Times New Roman" w:hAnsi="Times New Roman"/>
          <w:color w:val="000000"/>
          <w:szCs w:val="21"/>
        </w:rPr>
        <w:t xml:space="preserve"> 软体家具</w:t>
      </w:r>
      <w:r>
        <w:rPr>
          <w:rFonts w:hint="eastAsia" w:ascii="Times New Roman" w:hAnsi="Times New Roman"/>
          <w:color w:val="000000"/>
          <w:szCs w:val="21"/>
        </w:rPr>
        <w:t xml:space="preserve"> </w:t>
      </w:r>
      <w:r>
        <w:rPr>
          <w:rFonts w:ascii="Times New Roman" w:hAnsi="Times New Roman"/>
          <w:color w:val="000000"/>
          <w:szCs w:val="21"/>
        </w:rPr>
        <w:t>棕纤维弹性床垫</w:t>
      </w:r>
    </w:p>
    <w:p>
      <w:pPr>
        <w:keepNext w:val="0"/>
        <w:keepLines w:val="0"/>
        <w:pageBreakBefore w:val="0"/>
        <w:widowControl w:val="0"/>
        <w:kinsoku/>
        <w:wordWrap/>
        <w:overflowPunct/>
        <w:topLinePunct w:val="0"/>
        <w:autoSpaceDE/>
        <w:autoSpaceDN/>
        <w:bidi w:val="0"/>
        <w:snapToGrid w:val="0"/>
        <w:spacing w:after="0" w:line="384" w:lineRule="auto"/>
        <w:ind w:firstLine="420" w:firstLineChars="200"/>
        <w:textAlignment w:val="auto"/>
        <w:rPr>
          <w:rFonts w:ascii="Times New Roman" w:hAnsi="Times New Roman"/>
          <w:color w:val="000000"/>
          <w:szCs w:val="21"/>
        </w:rPr>
      </w:pPr>
      <w:r>
        <w:rPr>
          <w:rFonts w:ascii="Times New Roman" w:hAnsi="Times New Roman"/>
          <w:color w:val="000000"/>
          <w:szCs w:val="21"/>
        </w:rPr>
        <w:t>QB/T 1952.2—2023软体家具 弹簧软床垫</w:t>
      </w:r>
    </w:p>
    <w:p>
      <w:pPr>
        <w:keepNext w:val="0"/>
        <w:keepLines w:val="0"/>
        <w:pageBreakBefore w:val="0"/>
        <w:widowControl w:val="0"/>
        <w:kinsoku/>
        <w:wordWrap/>
        <w:overflowPunct/>
        <w:topLinePunct w:val="0"/>
        <w:autoSpaceDE/>
        <w:autoSpaceDN/>
        <w:bidi w:val="0"/>
        <w:snapToGrid w:val="0"/>
        <w:spacing w:after="0" w:line="384" w:lineRule="auto"/>
        <w:ind w:firstLine="420" w:firstLineChars="200"/>
        <w:textAlignment w:val="auto"/>
        <w:rPr>
          <w:rFonts w:ascii="Times New Roman" w:hAnsi="Times New Roman"/>
          <w:color w:val="000000"/>
          <w:szCs w:val="21"/>
        </w:rPr>
      </w:pPr>
      <w:r>
        <w:rPr>
          <w:rFonts w:ascii="Times New Roman" w:hAnsi="Times New Roman"/>
          <w:color w:val="000000"/>
          <w:szCs w:val="21"/>
        </w:rPr>
        <w:t>现行有效的企业标准、团体标准、地方标准及产品明示质量要求</w:t>
      </w:r>
    </w:p>
    <w:p>
      <w:pPr>
        <w:keepNext w:val="0"/>
        <w:keepLines w:val="0"/>
        <w:pageBreakBefore w:val="0"/>
        <w:widowControl w:val="0"/>
        <w:kinsoku/>
        <w:wordWrap/>
        <w:overflowPunct/>
        <w:topLinePunct w:val="0"/>
        <w:autoSpaceDE/>
        <w:autoSpaceDN/>
        <w:bidi w:val="0"/>
        <w:snapToGrid w:val="0"/>
        <w:spacing w:after="0" w:line="360" w:lineRule="auto"/>
        <w:textAlignment w:val="auto"/>
        <w:rPr>
          <w:rFonts w:ascii="Times New Roman" w:hAnsi="Times New Roman"/>
          <w:color w:val="000000"/>
          <w:szCs w:val="21"/>
        </w:rPr>
      </w:pPr>
      <w:r>
        <w:rPr>
          <w:rFonts w:ascii="Times New Roman" w:hAnsi="Times New Roman"/>
          <w:color w:val="000000"/>
          <w:szCs w:val="21"/>
        </w:rPr>
        <w:t>3.2判定原则</w:t>
      </w:r>
    </w:p>
    <w:p>
      <w:pPr>
        <w:keepNext w:val="0"/>
        <w:keepLines w:val="0"/>
        <w:pageBreakBefore w:val="0"/>
        <w:widowControl w:val="0"/>
        <w:kinsoku/>
        <w:wordWrap/>
        <w:overflowPunct/>
        <w:topLinePunct w:val="0"/>
        <w:autoSpaceDE/>
        <w:autoSpaceDN/>
        <w:bidi w:val="0"/>
        <w:snapToGrid w:val="0"/>
        <w:spacing w:after="0" w:line="384" w:lineRule="auto"/>
        <w:ind w:firstLine="420" w:firstLineChars="200"/>
        <w:textAlignment w:val="auto"/>
        <w:rPr>
          <w:rFonts w:ascii="Times New Roman" w:hAnsi="Times New Roman"/>
          <w:color w:val="000000"/>
          <w:szCs w:val="21"/>
        </w:rPr>
      </w:pPr>
      <w:r>
        <w:rPr>
          <w:rFonts w:ascii="Times New Roman" w:hAnsi="Times New Roman"/>
          <w:color w:val="000000"/>
          <w:szCs w:val="21"/>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snapToGrid w:val="0"/>
        <w:spacing w:after="0" w:line="384" w:lineRule="auto"/>
        <w:ind w:firstLine="420" w:firstLineChars="200"/>
        <w:textAlignment w:val="auto"/>
        <w:rPr>
          <w:rFonts w:ascii="Times New Roman" w:hAnsi="Times New Roman"/>
          <w:color w:val="000000"/>
          <w:szCs w:val="21"/>
        </w:rPr>
      </w:pPr>
      <w:r>
        <w:rPr>
          <w:rFonts w:ascii="Times New Roman" w:hAnsi="Times New Roman"/>
          <w:color w:val="000000"/>
          <w:szCs w:val="21"/>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after="0" w:line="384" w:lineRule="auto"/>
        <w:ind w:firstLine="420" w:firstLineChars="200"/>
        <w:textAlignment w:val="auto"/>
        <w:rPr>
          <w:rFonts w:ascii="Times New Roman" w:hAnsi="Times New Roman"/>
          <w:color w:val="000000"/>
          <w:szCs w:val="21"/>
        </w:rPr>
      </w:pPr>
      <w:r>
        <w:rPr>
          <w:rFonts w:ascii="Times New Roman" w:hAnsi="Times New Roman"/>
          <w:color w:val="000000"/>
          <w:szCs w:val="21"/>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after="0" w:line="384" w:lineRule="auto"/>
        <w:ind w:firstLine="420" w:firstLineChars="200"/>
        <w:textAlignment w:val="auto"/>
        <w:rPr>
          <w:rFonts w:ascii="Times New Roman" w:hAnsi="Times New Roman"/>
          <w:color w:val="000000"/>
          <w:szCs w:val="21"/>
        </w:rPr>
      </w:pPr>
      <w:r>
        <w:rPr>
          <w:rFonts w:ascii="Times New Roman" w:hAnsi="Times New Roman"/>
          <w:color w:val="000000"/>
          <w:szCs w:val="21"/>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after="0" w:line="384" w:lineRule="auto"/>
        <w:ind w:firstLine="420" w:firstLineChars="200"/>
        <w:textAlignment w:val="auto"/>
        <w:rPr>
          <w:rFonts w:ascii="Times New Roman" w:hAnsi="Times New Roman"/>
          <w:color w:val="000000"/>
          <w:szCs w:val="21"/>
        </w:rPr>
      </w:pPr>
      <w:r>
        <w:rPr>
          <w:rFonts w:ascii="Times New Roman" w:hAnsi="Times New Roman"/>
          <w:color w:val="000000"/>
          <w:szCs w:val="21"/>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after="0" w:line="384" w:lineRule="auto"/>
        <w:ind w:firstLine="420" w:firstLineChars="200"/>
        <w:textAlignment w:val="auto"/>
        <w:rPr>
          <w:rFonts w:ascii="Times New Roman" w:hAnsi="Times New Roman"/>
          <w:color w:val="000000"/>
          <w:szCs w:val="21"/>
        </w:rPr>
      </w:pPr>
      <w:r>
        <w:rPr>
          <w:rFonts w:ascii="Times New Roman" w:hAnsi="Times New Roman"/>
          <w:color w:val="000000"/>
          <w:szCs w:val="21"/>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napToGrid w:val="0"/>
        <w:spacing w:after="0" w:line="384" w:lineRule="auto"/>
        <w:ind w:firstLine="420" w:firstLineChars="200"/>
        <w:textAlignment w:val="auto"/>
        <w:rPr>
          <w:rFonts w:ascii="Times New Roman" w:hAnsi="Times New Roman"/>
          <w:color w:val="000000"/>
          <w:szCs w:val="21"/>
        </w:rPr>
      </w:pPr>
    </w:p>
    <w:p>
      <w:pPr>
        <w:keepNext w:val="0"/>
        <w:keepLines w:val="0"/>
        <w:pageBreakBefore w:val="0"/>
        <w:widowControl w:val="0"/>
        <w:kinsoku/>
        <w:wordWrap/>
        <w:overflowPunct/>
        <w:topLinePunct w:val="0"/>
        <w:autoSpaceDE/>
        <w:autoSpaceDN/>
        <w:bidi w:val="0"/>
        <w:spacing w:after="0" w:line="440" w:lineRule="exact"/>
        <w:textAlignment w:val="auto"/>
        <w:rPr>
          <w:rFonts w:ascii="Times New Roman" w:hAnsi="Times New Roman" w:eastAsia="黑体"/>
          <w:color w:val="000000"/>
          <w:szCs w:val="21"/>
        </w:rPr>
      </w:pPr>
      <w:r>
        <w:rPr>
          <w:rFonts w:ascii="Times New Roman" w:hAnsi="Times New Roman" w:eastAsia="黑体"/>
          <w:color w:val="000000"/>
          <w:szCs w:val="21"/>
        </w:rPr>
        <w:t>4 附则</w:t>
      </w:r>
    </w:p>
    <w:p>
      <w:pPr>
        <w:keepNext w:val="0"/>
        <w:keepLines w:val="0"/>
        <w:pageBreakBefore w:val="0"/>
        <w:widowControl w:val="0"/>
        <w:kinsoku/>
        <w:wordWrap/>
        <w:overflowPunct/>
        <w:topLinePunct w:val="0"/>
        <w:autoSpaceDE/>
        <w:autoSpaceDN/>
        <w:bidi w:val="0"/>
        <w:snapToGrid w:val="0"/>
        <w:spacing w:after="0" w:line="384" w:lineRule="auto"/>
        <w:ind w:firstLine="420" w:firstLineChars="200"/>
        <w:textAlignment w:val="auto"/>
        <w:rPr>
          <w:rFonts w:ascii="Times New Roman" w:hAnsi="Times New Roman"/>
          <w:color w:val="000000"/>
          <w:szCs w:val="21"/>
        </w:rPr>
      </w:pPr>
      <w:r>
        <w:rPr>
          <w:color w:val="000000"/>
          <w:szCs w:val="21"/>
        </w:rPr>
        <w:t>本细则代替《</w:t>
      </w:r>
      <w:r>
        <w:rPr>
          <w:rFonts w:hint="default" w:ascii="Times New Roman" w:hAnsi="Times New Roman" w:cs="Times New Roman"/>
        </w:rPr>
        <w:t>贵州省市场监管局关于发布2025年焦炭等72种产品</w:t>
      </w:r>
      <w:r>
        <w:rPr>
          <w:rFonts w:hint="eastAsia" w:ascii="Times New Roman" w:hAnsi="Times New Roman" w:cs="Times New Roman"/>
          <w:lang w:eastAsia="zh-CN"/>
        </w:rPr>
        <w:t>贵州省产品</w:t>
      </w:r>
      <w:r>
        <w:rPr>
          <w:rFonts w:hint="default" w:ascii="Times New Roman" w:hAnsi="Times New Roman" w:cs="Times New Roman"/>
        </w:rPr>
        <w:t>质量监督抽查实施细则的</w:t>
      </w:r>
      <w:r>
        <w:rPr>
          <w:rFonts w:hint="eastAsia" w:ascii="Times New Roman" w:hAnsi="Times New Roman" w:cs="Times New Roman"/>
          <w:lang w:eastAsia="zh-CN"/>
        </w:rPr>
        <w:t>通</w:t>
      </w:r>
      <w:r>
        <w:rPr>
          <w:rFonts w:hint="default" w:ascii="Times New Roman" w:hAnsi="Times New Roman" w:cs="Times New Roman"/>
        </w:rPr>
        <w:t>告</w:t>
      </w:r>
      <w:r>
        <w:rPr>
          <w:color w:val="000000"/>
          <w:szCs w:val="21"/>
        </w:rPr>
        <w:t>》中的</w:t>
      </w:r>
      <w:r>
        <w:rPr>
          <w:rFonts w:ascii="Times New Roman" w:hAnsi="Times New Roman"/>
          <w:color w:val="000000"/>
          <w:szCs w:val="21"/>
        </w:rPr>
        <w:t>《贵州省床垫产品质量监督抽查实施细则（202</w:t>
      </w:r>
      <w:r>
        <w:rPr>
          <w:rFonts w:hint="eastAsia" w:ascii="Times New Roman" w:hAnsi="Times New Roman"/>
          <w:color w:val="000000"/>
          <w:szCs w:val="21"/>
        </w:rPr>
        <w:t>5</w:t>
      </w:r>
      <w:r>
        <w:rPr>
          <w:rFonts w:ascii="Times New Roman" w:hAnsi="Times New Roman"/>
          <w:color w:val="000000"/>
          <w:szCs w:val="21"/>
        </w:rPr>
        <w:t>年版）》。</w:t>
      </w:r>
    </w:p>
    <w:sectPr>
      <w:footerReference r:id="rId5" w:type="default"/>
      <w:pgSz w:w="11906" w:h="16838"/>
      <w:pgMar w:top="1984" w:right="1474" w:bottom="1644" w:left="1474" w:header="851" w:footer="1191"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7"/>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E1MmNlNTVmMjNlMDgyMjY2YjViOTk0MTczMDFlYzMifQ=="/>
  </w:docVars>
  <w:rsids>
    <w:rsidRoot w:val="003611BA"/>
    <w:rsid w:val="00001CE7"/>
    <w:rsid w:val="00005AA7"/>
    <w:rsid w:val="00014997"/>
    <w:rsid w:val="000456D6"/>
    <w:rsid w:val="00052D0A"/>
    <w:rsid w:val="0006741A"/>
    <w:rsid w:val="00080190"/>
    <w:rsid w:val="0009759F"/>
    <w:rsid w:val="000A0C0F"/>
    <w:rsid w:val="000A1F68"/>
    <w:rsid w:val="000A5883"/>
    <w:rsid w:val="000B7B2B"/>
    <w:rsid w:val="0010045C"/>
    <w:rsid w:val="00110A8E"/>
    <w:rsid w:val="001134E2"/>
    <w:rsid w:val="0013450E"/>
    <w:rsid w:val="00135D58"/>
    <w:rsid w:val="00144A8A"/>
    <w:rsid w:val="0014671B"/>
    <w:rsid w:val="00147670"/>
    <w:rsid w:val="001479E1"/>
    <w:rsid w:val="00175325"/>
    <w:rsid w:val="001960E8"/>
    <w:rsid w:val="00197FAE"/>
    <w:rsid w:val="001B1ECE"/>
    <w:rsid w:val="001B3557"/>
    <w:rsid w:val="001B5B8B"/>
    <w:rsid w:val="001C65CB"/>
    <w:rsid w:val="001D3021"/>
    <w:rsid w:val="001E7E75"/>
    <w:rsid w:val="001F4D89"/>
    <w:rsid w:val="002426E5"/>
    <w:rsid w:val="002533AD"/>
    <w:rsid w:val="002642D1"/>
    <w:rsid w:val="00266BED"/>
    <w:rsid w:val="00280D69"/>
    <w:rsid w:val="00283526"/>
    <w:rsid w:val="00287CFB"/>
    <w:rsid w:val="0029255D"/>
    <w:rsid w:val="002A1067"/>
    <w:rsid w:val="002B2D19"/>
    <w:rsid w:val="002C75FA"/>
    <w:rsid w:val="002F3260"/>
    <w:rsid w:val="00301FD0"/>
    <w:rsid w:val="00341366"/>
    <w:rsid w:val="00342341"/>
    <w:rsid w:val="00354255"/>
    <w:rsid w:val="00355360"/>
    <w:rsid w:val="003611BA"/>
    <w:rsid w:val="003701D3"/>
    <w:rsid w:val="0039351D"/>
    <w:rsid w:val="003B28E3"/>
    <w:rsid w:val="003C4925"/>
    <w:rsid w:val="003D6EDD"/>
    <w:rsid w:val="003E34AA"/>
    <w:rsid w:val="0043448F"/>
    <w:rsid w:val="004565AD"/>
    <w:rsid w:val="004A4DFC"/>
    <w:rsid w:val="004A5B51"/>
    <w:rsid w:val="004B599D"/>
    <w:rsid w:val="004C6EAB"/>
    <w:rsid w:val="004C79DF"/>
    <w:rsid w:val="004D05AF"/>
    <w:rsid w:val="00507AE0"/>
    <w:rsid w:val="0051512A"/>
    <w:rsid w:val="00560FE5"/>
    <w:rsid w:val="005631DF"/>
    <w:rsid w:val="005C3820"/>
    <w:rsid w:val="00624DD6"/>
    <w:rsid w:val="006350F9"/>
    <w:rsid w:val="00636C30"/>
    <w:rsid w:val="00652075"/>
    <w:rsid w:val="00652B40"/>
    <w:rsid w:val="0066041C"/>
    <w:rsid w:val="00660FFF"/>
    <w:rsid w:val="0067449B"/>
    <w:rsid w:val="00675807"/>
    <w:rsid w:val="006C75F5"/>
    <w:rsid w:val="006D61B3"/>
    <w:rsid w:val="006F3686"/>
    <w:rsid w:val="006F586E"/>
    <w:rsid w:val="006F6818"/>
    <w:rsid w:val="00700705"/>
    <w:rsid w:val="007032EA"/>
    <w:rsid w:val="00707EBA"/>
    <w:rsid w:val="00712FE6"/>
    <w:rsid w:val="00721DBD"/>
    <w:rsid w:val="00724965"/>
    <w:rsid w:val="00766407"/>
    <w:rsid w:val="00772A62"/>
    <w:rsid w:val="007C5B37"/>
    <w:rsid w:val="007E3FB0"/>
    <w:rsid w:val="007E7B78"/>
    <w:rsid w:val="00801099"/>
    <w:rsid w:val="00805277"/>
    <w:rsid w:val="0081765C"/>
    <w:rsid w:val="008447EF"/>
    <w:rsid w:val="008536DB"/>
    <w:rsid w:val="00863267"/>
    <w:rsid w:val="0086350C"/>
    <w:rsid w:val="00863F48"/>
    <w:rsid w:val="00872CC4"/>
    <w:rsid w:val="008737DB"/>
    <w:rsid w:val="00896990"/>
    <w:rsid w:val="00897986"/>
    <w:rsid w:val="008E4C32"/>
    <w:rsid w:val="008F131B"/>
    <w:rsid w:val="00911043"/>
    <w:rsid w:val="0091349A"/>
    <w:rsid w:val="00933214"/>
    <w:rsid w:val="00963128"/>
    <w:rsid w:val="00971B6B"/>
    <w:rsid w:val="00991A35"/>
    <w:rsid w:val="009A6925"/>
    <w:rsid w:val="009B36A3"/>
    <w:rsid w:val="009B3AF3"/>
    <w:rsid w:val="009B48C4"/>
    <w:rsid w:val="009C1C38"/>
    <w:rsid w:val="009D2CD9"/>
    <w:rsid w:val="009D2E2A"/>
    <w:rsid w:val="009E6086"/>
    <w:rsid w:val="009F189F"/>
    <w:rsid w:val="00A034D7"/>
    <w:rsid w:val="00A055B0"/>
    <w:rsid w:val="00A0674B"/>
    <w:rsid w:val="00A5157E"/>
    <w:rsid w:val="00A66A3D"/>
    <w:rsid w:val="00A7543F"/>
    <w:rsid w:val="00A77E8A"/>
    <w:rsid w:val="00A916BA"/>
    <w:rsid w:val="00AB2350"/>
    <w:rsid w:val="00AB462B"/>
    <w:rsid w:val="00AE1821"/>
    <w:rsid w:val="00AE471A"/>
    <w:rsid w:val="00AE5734"/>
    <w:rsid w:val="00AF5572"/>
    <w:rsid w:val="00B26562"/>
    <w:rsid w:val="00B47FEC"/>
    <w:rsid w:val="00B51584"/>
    <w:rsid w:val="00B54E2B"/>
    <w:rsid w:val="00B55224"/>
    <w:rsid w:val="00B80476"/>
    <w:rsid w:val="00B908E9"/>
    <w:rsid w:val="00B94B11"/>
    <w:rsid w:val="00B97F97"/>
    <w:rsid w:val="00BC542A"/>
    <w:rsid w:val="00BD2490"/>
    <w:rsid w:val="00BF0959"/>
    <w:rsid w:val="00C17712"/>
    <w:rsid w:val="00C17F20"/>
    <w:rsid w:val="00C207B1"/>
    <w:rsid w:val="00C21785"/>
    <w:rsid w:val="00C345BB"/>
    <w:rsid w:val="00C4043C"/>
    <w:rsid w:val="00C46A22"/>
    <w:rsid w:val="00C57739"/>
    <w:rsid w:val="00C83DBF"/>
    <w:rsid w:val="00C87AB5"/>
    <w:rsid w:val="00C92ED7"/>
    <w:rsid w:val="00C9467F"/>
    <w:rsid w:val="00CA6A3B"/>
    <w:rsid w:val="00CB316D"/>
    <w:rsid w:val="00CD1BFD"/>
    <w:rsid w:val="00CD3877"/>
    <w:rsid w:val="00CF5F1B"/>
    <w:rsid w:val="00D1325F"/>
    <w:rsid w:val="00D31DB4"/>
    <w:rsid w:val="00D42ED8"/>
    <w:rsid w:val="00D511A7"/>
    <w:rsid w:val="00D649CA"/>
    <w:rsid w:val="00D6657B"/>
    <w:rsid w:val="00D732ED"/>
    <w:rsid w:val="00D85C2A"/>
    <w:rsid w:val="00D879A0"/>
    <w:rsid w:val="00D9506C"/>
    <w:rsid w:val="00DC0140"/>
    <w:rsid w:val="00DD7E3B"/>
    <w:rsid w:val="00E1076E"/>
    <w:rsid w:val="00E1489E"/>
    <w:rsid w:val="00E24FC8"/>
    <w:rsid w:val="00E44C40"/>
    <w:rsid w:val="00E60214"/>
    <w:rsid w:val="00E648F6"/>
    <w:rsid w:val="00E96130"/>
    <w:rsid w:val="00EA38DE"/>
    <w:rsid w:val="00EA4389"/>
    <w:rsid w:val="00EA6934"/>
    <w:rsid w:val="00ED03C4"/>
    <w:rsid w:val="00EF0AC2"/>
    <w:rsid w:val="00F54BA6"/>
    <w:rsid w:val="00F63EC8"/>
    <w:rsid w:val="00F836BB"/>
    <w:rsid w:val="00F87966"/>
    <w:rsid w:val="00FA2884"/>
    <w:rsid w:val="00FA45C8"/>
    <w:rsid w:val="00FA59DC"/>
    <w:rsid w:val="00FC0C80"/>
    <w:rsid w:val="00FD5380"/>
    <w:rsid w:val="00FE1549"/>
    <w:rsid w:val="00FE6C6B"/>
    <w:rsid w:val="00FF1D7E"/>
    <w:rsid w:val="00FF3048"/>
    <w:rsid w:val="01757279"/>
    <w:rsid w:val="02394E6E"/>
    <w:rsid w:val="071C39DD"/>
    <w:rsid w:val="0C3020D5"/>
    <w:rsid w:val="14707C4A"/>
    <w:rsid w:val="14A748C1"/>
    <w:rsid w:val="1B146325"/>
    <w:rsid w:val="29817179"/>
    <w:rsid w:val="2B04470D"/>
    <w:rsid w:val="2C062286"/>
    <w:rsid w:val="44783A96"/>
    <w:rsid w:val="4A1D0919"/>
    <w:rsid w:val="55CC633D"/>
    <w:rsid w:val="57BFB788"/>
    <w:rsid w:val="603B144D"/>
    <w:rsid w:val="60D566FD"/>
    <w:rsid w:val="61D054C2"/>
    <w:rsid w:val="61F5033B"/>
    <w:rsid w:val="652F585C"/>
    <w:rsid w:val="6CD32CB6"/>
    <w:rsid w:val="723415EF"/>
    <w:rsid w:val="7BE938BF"/>
    <w:rsid w:val="7F70A958"/>
    <w:rsid w:val="8EFDF173"/>
    <w:rsid w:val="A9F37307"/>
    <w:rsid w:val="AFBFA1BF"/>
    <w:rsid w:val="BFB9CA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Indent"/>
    <w:basedOn w:val="1"/>
    <w:link w:val="16"/>
    <w:qFormat/>
    <w:uiPriority w:val="0"/>
    <w:pPr>
      <w:ind w:firstLine="600" w:firstLineChars="200"/>
    </w:pPr>
    <w:rPr>
      <w:rFonts w:ascii="Times New Roman" w:hAnsi="Times New Roman" w:eastAsia="仿宋_GB2312"/>
      <w:sz w:val="30"/>
      <w:szCs w:val="24"/>
    </w:rPr>
  </w:style>
  <w:style w:type="paragraph" w:styleId="5">
    <w:name w:val="Plain Text"/>
    <w:basedOn w:val="1"/>
    <w:link w:val="17"/>
    <w:unhideWhenUsed/>
    <w:qFormat/>
    <w:uiPriority w:val="99"/>
    <w:rPr>
      <w:rFonts w:ascii="宋体" w:hAnsi="Courier New"/>
      <w:kern w:val="0"/>
      <w:sz w:val="20"/>
      <w:szCs w:val="20"/>
    </w:rPr>
  </w:style>
  <w:style w:type="paragraph" w:styleId="6">
    <w:name w:val="Balloon Text"/>
    <w:basedOn w:val="1"/>
    <w:link w:val="18"/>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link w:val="21"/>
    <w:qFormat/>
    <w:uiPriority w:val="0"/>
    <w:pPr>
      <w:widowControl/>
      <w:autoSpaceDE w:val="0"/>
      <w:autoSpaceDN w:val="0"/>
      <w:adjustRightInd w:val="0"/>
      <w:snapToGrid w:val="0"/>
      <w:spacing w:line="600" w:lineRule="exact"/>
      <w:ind w:left="646" w:leftChars="323" w:firstLine="643" w:firstLineChars="201"/>
    </w:pPr>
    <w:rPr>
      <w:rFonts w:ascii="仿宋_GB2312" w:hAnsi="Times New Roman" w:eastAsia="仿宋_GB2312"/>
      <w:kern w:val="0"/>
      <w:sz w:val="32"/>
      <w:szCs w:val="20"/>
    </w:rPr>
  </w:style>
  <w:style w:type="table" w:styleId="11">
    <w:name w:val="Table Grid"/>
    <w:basedOn w:val="10"/>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annotation reference"/>
    <w:basedOn w:val="12"/>
    <w:semiHidden/>
    <w:unhideWhenUsed/>
    <w:qFormat/>
    <w:uiPriority w:val="99"/>
    <w:rPr>
      <w:sz w:val="21"/>
      <w:szCs w:val="21"/>
    </w:rPr>
  </w:style>
  <w:style w:type="character" w:customStyle="1" w:styleId="15">
    <w:name w:val="标题 1 字符"/>
    <w:basedOn w:val="12"/>
    <w:link w:val="2"/>
    <w:qFormat/>
    <w:uiPriority w:val="9"/>
    <w:rPr>
      <w:rFonts w:ascii="Calibri" w:hAnsi="Calibri" w:eastAsia="宋体" w:cs="Times New Roman"/>
      <w:b/>
      <w:bCs/>
      <w:kern w:val="44"/>
      <w:sz w:val="44"/>
      <w:szCs w:val="44"/>
    </w:rPr>
  </w:style>
  <w:style w:type="character" w:customStyle="1" w:styleId="16">
    <w:name w:val="正文文本缩进 字符"/>
    <w:basedOn w:val="12"/>
    <w:link w:val="4"/>
    <w:qFormat/>
    <w:uiPriority w:val="0"/>
    <w:rPr>
      <w:rFonts w:ascii="Times New Roman" w:hAnsi="Times New Roman" w:eastAsia="仿宋_GB2312" w:cs="Times New Roman"/>
      <w:sz w:val="30"/>
      <w:szCs w:val="24"/>
    </w:rPr>
  </w:style>
  <w:style w:type="character" w:customStyle="1" w:styleId="17">
    <w:name w:val="纯文本 字符"/>
    <w:basedOn w:val="12"/>
    <w:link w:val="5"/>
    <w:qFormat/>
    <w:uiPriority w:val="99"/>
    <w:rPr>
      <w:rFonts w:ascii="宋体" w:hAnsi="Courier New" w:eastAsia="宋体" w:cs="Times New Roman"/>
      <w:kern w:val="0"/>
      <w:sz w:val="20"/>
      <w:szCs w:val="20"/>
    </w:rPr>
  </w:style>
  <w:style w:type="character" w:customStyle="1" w:styleId="18">
    <w:name w:val="批注框文本 字符"/>
    <w:basedOn w:val="12"/>
    <w:link w:val="6"/>
    <w:qFormat/>
    <w:uiPriority w:val="99"/>
    <w:rPr>
      <w:rFonts w:ascii="Calibri" w:hAnsi="Calibri" w:eastAsia="宋体" w:cs="Times New Roman"/>
      <w:sz w:val="18"/>
      <w:szCs w:val="18"/>
    </w:rPr>
  </w:style>
  <w:style w:type="character" w:customStyle="1" w:styleId="19">
    <w:name w:val="页脚 字符"/>
    <w:basedOn w:val="12"/>
    <w:link w:val="7"/>
    <w:qFormat/>
    <w:uiPriority w:val="99"/>
    <w:rPr>
      <w:rFonts w:ascii="Calibri" w:hAnsi="Calibri" w:eastAsia="宋体" w:cs="Times New Roman"/>
      <w:sz w:val="18"/>
      <w:szCs w:val="18"/>
    </w:rPr>
  </w:style>
  <w:style w:type="character" w:customStyle="1" w:styleId="20">
    <w:name w:val="页眉 字符1"/>
    <w:basedOn w:val="12"/>
    <w:link w:val="8"/>
    <w:qFormat/>
    <w:uiPriority w:val="0"/>
    <w:rPr>
      <w:rFonts w:ascii="Calibri" w:hAnsi="Calibri" w:eastAsia="宋体" w:cs="Times New Roman"/>
      <w:sz w:val="18"/>
      <w:szCs w:val="18"/>
    </w:rPr>
  </w:style>
  <w:style w:type="character" w:customStyle="1" w:styleId="21">
    <w:name w:val="正文文本缩进 3 字符"/>
    <w:basedOn w:val="12"/>
    <w:link w:val="9"/>
    <w:qFormat/>
    <w:uiPriority w:val="0"/>
    <w:rPr>
      <w:rFonts w:ascii="仿宋_GB2312" w:hAnsi="Times New Roman" w:eastAsia="仿宋_GB2312" w:cs="Times New Roman"/>
      <w:kern w:val="0"/>
      <w:sz w:val="32"/>
      <w:szCs w:val="20"/>
    </w:rPr>
  </w:style>
  <w:style w:type="character" w:customStyle="1" w:styleId="22">
    <w:name w:val="页眉 字符"/>
    <w:qFormat/>
    <w:uiPriority w:val="0"/>
    <w:rPr>
      <w:kern w:val="2"/>
      <w:sz w:val="18"/>
      <w:szCs w:val="18"/>
    </w:rPr>
  </w:style>
  <w:style w:type="paragraph" w:customStyle="1" w:styleId="23">
    <w:name w:val="Char11"/>
    <w:basedOn w:val="1"/>
    <w:qFormat/>
    <w:uiPriority w:val="0"/>
    <w:pPr>
      <w:jc w:val="center"/>
    </w:pPr>
    <w:rPr>
      <w:rFonts w:ascii="Times New Roman" w:hAnsi="Times New Roman"/>
      <w:szCs w:val="21"/>
    </w:rPr>
  </w:style>
  <w:style w:type="paragraph" w:customStyle="1" w:styleId="24">
    <w:name w:val="Char Char"/>
    <w:basedOn w:val="1"/>
    <w:semiHidden/>
    <w:qFormat/>
    <w:uiPriority w:val="0"/>
    <w:rPr>
      <w:rFonts w:ascii="Times New Roman" w:hAnsi="Times New Roman"/>
      <w:szCs w:val="20"/>
    </w:rPr>
  </w:style>
  <w:style w:type="paragraph" w:customStyle="1" w:styleId="25">
    <w:name w:val="列出段落1"/>
    <w:basedOn w:val="1"/>
    <w:qFormat/>
    <w:uiPriority w:val="34"/>
    <w:pPr>
      <w:ind w:firstLine="420" w:firstLineChars="200"/>
    </w:pPr>
  </w:style>
  <w:style w:type="paragraph" w:customStyle="1" w:styleId="26">
    <w:name w:val="列出段落2"/>
    <w:basedOn w:val="1"/>
    <w:qFormat/>
    <w:uiPriority w:val="99"/>
    <w:pPr>
      <w:ind w:firstLine="420" w:firstLineChars="200"/>
    </w:pPr>
  </w:style>
  <w:style w:type="paragraph" w:customStyle="1" w:styleId="27">
    <w:name w:val="Default"/>
    <w:qFormat/>
    <w:uiPriority w:val="0"/>
    <w:pPr>
      <w:widowControl w:val="0"/>
      <w:autoSpaceDE w:val="0"/>
      <w:autoSpaceDN w:val="0"/>
      <w:adjustRightInd w:val="0"/>
      <w:spacing w:after="160" w:line="278" w:lineRule="auto"/>
    </w:pPr>
    <w:rPr>
      <w:rFonts w:ascii="仿宋" w:hAnsi="Times New Roman" w:eastAsia="仿宋" w:cs="仿宋"/>
      <w:color w:val="000000"/>
      <w:sz w:val="24"/>
      <w:szCs w:val="24"/>
      <w:lang w:val="en-US" w:eastAsia="zh-CN" w:bidi="ar-SA"/>
    </w:rPr>
  </w:style>
  <w:style w:type="paragraph" w:customStyle="1" w:styleId="28">
    <w:name w:val="正文1"/>
    <w:basedOn w:val="1"/>
    <w:qFormat/>
    <w:uiPriority w:val="0"/>
    <w:pPr>
      <w:adjustRightInd w:val="0"/>
      <w:spacing w:before="120" w:after="120" w:line="300" w:lineRule="auto"/>
      <w:jc w:val="center"/>
      <w:textAlignment w:val="baseline"/>
    </w:pPr>
    <w:rPr>
      <w:rFonts w:ascii="Times New Roman" w:hAnsi="Times New Roman"/>
      <w:szCs w:val="20"/>
    </w:rPr>
  </w:style>
  <w:style w:type="paragraph" w:customStyle="1" w:styleId="29">
    <w:name w:val="段"/>
    <w:link w:val="31"/>
    <w:qFormat/>
    <w:uiPriority w:val="0"/>
    <w:pPr>
      <w:autoSpaceDE w:val="0"/>
      <w:autoSpaceDN w:val="0"/>
      <w:spacing w:after="160" w:line="278" w:lineRule="auto"/>
      <w:ind w:firstLine="200" w:firstLineChars="200"/>
      <w:jc w:val="both"/>
    </w:pPr>
    <w:rPr>
      <w:rFonts w:ascii="宋体" w:hAnsi="Times New Roman" w:eastAsia="宋体" w:cs="Times New Roman"/>
      <w:sz w:val="21"/>
      <w:lang w:val="en-US" w:eastAsia="zh-CN" w:bidi="ar-SA"/>
    </w:rPr>
  </w:style>
  <w:style w:type="paragraph" w:styleId="30">
    <w:name w:val="List Paragraph"/>
    <w:basedOn w:val="1"/>
    <w:qFormat/>
    <w:uiPriority w:val="34"/>
    <w:pPr>
      <w:ind w:firstLine="420" w:firstLineChars="200"/>
    </w:pPr>
  </w:style>
  <w:style w:type="character" w:customStyle="1" w:styleId="31">
    <w:name w:val="段 Char"/>
    <w:link w:val="29"/>
    <w:qFormat/>
    <w:uiPriority w:val="0"/>
    <w:rPr>
      <w:rFonts w:ascii="宋体" w:hAnsi="Times New Roman" w:eastAsia="宋体" w:cs="Times New Roman"/>
      <w:kern w:val="0"/>
      <w:szCs w:val="20"/>
    </w:rPr>
  </w:style>
  <w:style w:type="character" w:customStyle="1" w:styleId="32">
    <w:name w:val="ask-title"/>
    <w:basedOn w:val="12"/>
    <w:qFormat/>
    <w:uiPriority w:val="0"/>
  </w:style>
  <w:style w:type="character" w:customStyle="1" w:styleId="33">
    <w:name w:val="纯文本 Char1"/>
    <w:qFormat/>
    <w:uiPriority w:val="99"/>
    <w:rPr>
      <w:rFonts w:ascii="宋体" w:hAnsi="Courier Ne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599</Words>
  <Characters>1045</Characters>
  <Lines>19</Lines>
  <Paragraphs>5</Paragraphs>
  <TotalTime>3</TotalTime>
  <ScaleCrop>false</ScaleCrop>
  <LinksUpToDate>false</LinksUpToDate>
  <CharactersWithSpaces>1089</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2020-06-09T23:12:00Z</dcterms:created>
  <dc:creator>lenovo</dc:creator>
  <cp:lastModifiedBy>ysgz</cp:lastModifiedBy>
  <dcterms:modified xsi:type="dcterms:W3CDTF">2026-04-20T17:06:57Z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KSOSaveFontToCloudKey">
    <vt:lpwstr>333935165_cloud</vt:lpwstr>
  </property>
  <property fmtid="{D5CDD505-2E9C-101B-9397-08002B2CF9AE}" pid="4" name="ICV">
    <vt:lpwstr>87A20EE0565042CE9DA56CE10F349474</vt:lpwstr>
  </property>
  <property fmtid="{D5CDD505-2E9C-101B-9397-08002B2CF9AE}" pid="5" name="KSOTemplateDocerSaveRecord">
    <vt:lpwstr>eyJoZGlkIjoiMDYwZjMyZWYzMmNmMzY4MzkwYmQ0NTJiMTg4YjkxMzIiLCJ1c2VySWQiOiI0MjUxMDQ1MjMifQ==</vt:lpwstr>
  </property>
</Properties>
</file>